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20" w:type="dxa"/>
        <w:tblLook w:val="0000" w:firstRow="0" w:lastRow="0" w:firstColumn="0" w:lastColumn="0" w:noHBand="0" w:noVBand="0"/>
      </w:tblPr>
      <w:tblGrid>
        <w:gridCol w:w="6204"/>
        <w:gridCol w:w="9516"/>
      </w:tblGrid>
      <w:tr w:rsidR="00DE4813" w:rsidRPr="001724AF" w14:paraId="781BDADD" w14:textId="77777777" w:rsidTr="00DE4813">
        <w:trPr>
          <w:trHeight w:val="1258"/>
        </w:trPr>
        <w:tc>
          <w:tcPr>
            <w:tcW w:w="6204" w:type="dxa"/>
          </w:tcPr>
          <w:p w14:paraId="18E2A6E0" w14:textId="7B454B04" w:rsidR="00DE4813" w:rsidRPr="001724AF" w:rsidRDefault="00DE4813" w:rsidP="00DE4813">
            <w:pPr>
              <w:pStyle w:val="Heading5"/>
              <w:keepNext/>
              <w:spacing w:before="0" w:after="0"/>
              <w:ind w:left="-250" w:right="-34" w:firstLine="142"/>
              <w:jc w:val="center"/>
              <w:rPr>
                <w:b w:val="0"/>
                <w:bCs w:val="0"/>
                <w:i w:val="0"/>
                <w:iCs w:val="0"/>
              </w:rPr>
            </w:pPr>
            <w:bookmarkStart w:id="0" w:name="_GoBack"/>
            <w:bookmarkEnd w:id="0"/>
            <w:r w:rsidRPr="001724AF">
              <w:rPr>
                <w:b w:val="0"/>
                <w:bCs w:val="0"/>
                <w:i w:val="0"/>
                <w:iCs w:val="0"/>
              </w:rPr>
              <w:t>UBND TỈNH TÂY NINH</w:t>
            </w:r>
          </w:p>
          <w:p w14:paraId="4A2896D2" w14:textId="77777777" w:rsidR="00DE4813" w:rsidRPr="001724AF" w:rsidRDefault="00DE4813" w:rsidP="008D35EC">
            <w:pPr>
              <w:pStyle w:val="Heading5"/>
              <w:keepNext/>
              <w:spacing w:before="0" w:after="0"/>
              <w:ind w:left="-250" w:right="-34" w:firstLine="142"/>
              <w:jc w:val="center"/>
              <w:rPr>
                <w:bCs w:val="0"/>
                <w:i w:val="0"/>
                <w:iCs w:val="0"/>
              </w:rPr>
            </w:pPr>
            <w:r w:rsidRPr="001724AF">
              <w:rPr>
                <w:bCs w:val="0"/>
                <w:i w:val="0"/>
                <w:iCs w:val="0"/>
              </w:rPr>
              <w:t xml:space="preserve">SỞ NÔNG NGHIỆP VÀ MÔI TRƯỜNG </w:t>
            </w:r>
          </w:p>
          <w:p w14:paraId="122EE004" w14:textId="77777777" w:rsidR="00DE4813" w:rsidRPr="001724AF" w:rsidRDefault="00DE4813" w:rsidP="008D35EC">
            <w:pPr>
              <w:spacing w:before="240" w:after="120"/>
              <w:ind w:right="-34"/>
              <w:rPr>
                <w:noProof/>
              </w:rPr>
            </w:pPr>
            <w:r w:rsidRPr="001724AF">
              <w:rPr>
                <w:noProof/>
              </w:rPr>
              <mc:AlternateContent>
                <mc:Choice Requires="wps">
                  <w:drawing>
                    <wp:anchor distT="0" distB="0" distL="114300" distR="114300" simplePos="0" relativeHeight="251660288" behindDoc="0" locked="0" layoutInCell="1" allowOverlap="1" wp14:anchorId="5FA847B8" wp14:editId="3F3DD685">
                      <wp:simplePos x="0" y="0"/>
                      <wp:positionH relativeFrom="column">
                        <wp:posOffset>1266825</wp:posOffset>
                      </wp:positionH>
                      <wp:positionV relativeFrom="paragraph">
                        <wp:posOffset>36195</wp:posOffset>
                      </wp:positionV>
                      <wp:extent cx="12338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A6551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85pt" to="196.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gW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"/>
                  </w:pict>
                </mc:Fallback>
              </mc:AlternateContent>
            </w:r>
            <w:r w:rsidRPr="001724AF">
              <w:rPr>
                <w:noProof/>
              </w:rPr>
              <w:t xml:space="preserve">                 </w:t>
            </w:r>
          </w:p>
        </w:tc>
        <w:tc>
          <w:tcPr>
            <w:tcW w:w="9516" w:type="dxa"/>
          </w:tcPr>
          <w:p w14:paraId="2B54B83F" w14:textId="77777777" w:rsidR="00DE4813" w:rsidRPr="001724AF" w:rsidRDefault="00DE4813" w:rsidP="00DE4813">
            <w:pPr>
              <w:pStyle w:val="Heading5"/>
              <w:keepNext/>
              <w:spacing w:before="0" w:after="0"/>
              <w:ind w:left="176" w:right="-108"/>
              <w:jc w:val="center"/>
              <w:rPr>
                <w:bCs w:val="0"/>
                <w:i w:val="0"/>
                <w:iCs w:val="0"/>
              </w:rPr>
            </w:pPr>
            <w:r w:rsidRPr="001724AF">
              <w:rPr>
                <w:bCs w:val="0"/>
                <w:i w:val="0"/>
                <w:iCs w:val="0"/>
              </w:rPr>
              <w:t>CỘNG HOÀ XÃ HỘI CHỦ NGHĨA VIỆT NAM</w:t>
            </w:r>
          </w:p>
          <w:p w14:paraId="6C2D049A" w14:textId="0F17B2EA" w:rsidR="00DE4813" w:rsidRPr="001724AF" w:rsidRDefault="00DE4813" w:rsidP="008D35EC">
            <w:pPr>
              <w:pStyle w:val="Heading5"/>
              <w:keepNext/>
              <w:spacing w:before="0" w:after="0"/>
              <w:ind w:left="-54" w:right="-34"/>
              <w:jc w:val="center"/>
              <w:rPr>
                <w:bCs w:val="0"/>
                <w:i w:val="0"/>
                <w:iCs w:val="0"/>
              </w:rPr>
            </w:pPr>
            <w:r w:rsidRPr="001724AF">
              <w:rPr>
                <w:bCs w:val="0"/>
                <w:i w:val="0"/>
                <w:iCs w:val="0"/>
              </w:rPr>
              <w:t xml:space="preserve">   Độc lập - Tự do - Hạnh phúc</w:t>
            </w:r>
          </w:p>
          <w:p w14:paraId="16167F3C" w14:textId="278E60BA" w:rsidR="00DE4813" w:rsidRPr="001724AF" w:rsidRDefault="00DE4813" w:rsidP="000B5C46">
            <w:pPr>
              <w:spacing w:before="240"/>
              <w:ind w:right="-34"/>
              <w:jc w:val="center"/>
              <w:rPr>
                <w:i/>
                <w:u w:val="single"/>
                <w:vertAlign w:val="superscript"/>
              </w:rPr>
            </w:pPr>
            <w:r w:rsidRPr="001724AF">
              <w:rPr>
                <w:i/>
                <w:noProof/>
              </w:rPr>
              <mc:AlternateContent>
                <mc:Choice Requires="wps">
                  <w:drawing>
                    <wp:anchor distT="0" distB="0" distL="114300" distR="114300" simplePos="0" relativeHeight="251659264" behindDoc="0" locked="0" layoutInCell="1" allowOverlap="1" wp14:anchorId="4C82628D" wp14:editId="3A0F02C8">
                      <wp:simplePos x="0" y="0"/>
                      <wp:positionH relativeFrom="column">
                        <wp:posOffset>1973580</wp:posOffset>
                      </wp:positionH>
                      <wp:positionV relativeFrom="paragraph">
                        <wp:posOffset>85725</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63FF8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6.75pt" to="326.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"/>
                  </w:pict>
                </mc:Fallback>
              </mc:AlternateContent>
            </w:r>
            <w:r w:rsidRPr="001724AF">
              <w:rPr>
                <w:i/>
                <w:lang w:val="vi-VN"/>
              </w:rPr>
              <w:t>Tây Ninh, ngày</w:t>
            </w:r>
            <w:r w:rsidRPr="001724AF">
              <w:rPr>
                <w:i/>
              </w:rPr>
              <w:t xml:space="preserve">  </w:t>
            </w:r>
            <w:r w:rsidRPr="001724AF">
              <w:rPr>
                <w:i/>
                <w:lang w:val="vi-VN"/>
              </w:rPr>
              <w:t xml:space="preserve"> </w:t>
            </w:r>
            <w:r w:rsidRPr="001724AF">
              <w:rPr>
                <w:i/>
              </w:rPr>
              <w:t xml:space="preserve">     </w:t>
            </w:r>
            <w:r w:rsidRPr="001724AF">
              <w:rPr>
                <w:i/>
                <w:lang w:val="vi-VN"/>
              </w:rPr>
              <w:t>tháng</w:t>
            </w:r>
            <w:r w:rsidRPr="001724AF">
              <w:rPr>
                <w:i/>
              </w:rPr>
              <w:t xml:space="preserve">  </w:t>
            </w:r>
            <w:r w:rsidR="000B5C46">
              <w:rPr>
                <w:i/>
              </w:rPr>
              <w:t>02</w:t>
            </w:r>
            <w:r w:rsidR="001B7C6C" w:rsidRPr="001724AF">
              <w:rPr>
                <w:i/>
              </w:rPr>
              <w:t xml:space="preserve"> </w:t>
            </w:r>
            <w:r w:rsidRPr="001724AF">
              <w:rPr>
                <w:i/>
              </w:rPr>
              <w:t xml:space="preserve">  </w:t>
            </w:r>
            <w:r w:rsidRPr="001724AF">
              <w:rPr>
                <w:i/>
                <w:lang w:val="vi-VN"/>
              </w:rPr>
              <w:t>năm 20</w:t>
            </w:r>
            <w:r w:rsidR="00245777">
              <w:rPr>
                <w:i/>
              </w:rPr>
              <w:t>2</w:t>
            </w:r>
            <w:r w:rsidR="00C804D5">
              <w:rPr>
                <w:i/>
              </w:rPr>
              <w:t>6</w:t>
            </w:r>
          </w:p>
        </w:tc>
      </w:tr>
    </w:tbl>
    <w:p w14:paraId="6AA183E5" w14:textId="77777777" w:rsidR="00DE4813" w:rsidRPr="001724AF" w:rsidRDefault="00DE4813" w:rsidP="005C6626">
      <w:pPr>
        <w:jc w:val="center"/>
        <w:rPr>
          <w:b/>
        </w:rPr>
      </w:pPr>
    </w:p>
    <w:p w14:paraId="416AB3B9" w14:textId="6D108FDE" w:rsidR="00672192" w:rsidRPr="00F10CC8" w:rsidRDefault="00B10A37" w:rsidP="005C6626">
      <w:pPr>
        <w:jc w:val="center"/>
        <w:rPr>
          <w:b/>
        </w:rPr>
      </w:pPr>
      <w:r w:rsidRPr="00F10CC8">
        <w:rPr>
          <w:b/>
        </w:rPr>
        <w:t>BẢN SO SÁNH</w:t>
      </w:r>
      <w:r w:rsidR="00F54923" w:rsidRPr="00F10CC8">
        <w:rPr>
          <w:b/>
        </w:rPr>
        <w:t>, THUYẾT MINH NỘI DUNG</w:t>
      </w:r>
      <w:r w:rsidRPr="00F10CC8">
        <w:t xml:space="preserve"> </w:t>
      </w:r>
      <w:r w:rsidR="00DE4813" w:rsidRPr="00F10CC8">
        <w:rPr>
          <w:b/>
        </w:rPr>
        <w:t xml:space="preserve">DỰ THẢO </w:t>
      </w:r>
      <w:r w:rsidR="009706B9" w:rsidRPr="00F10CC8">
        <w:rPr>
          <w:b/>
        </w:rPr>
        <w:t>QUYẾT ĐỊNH</w:t>
      </w:r>
    </w:p>
    <w:p w14:paraId="37D23001" w14:textId="77777777" w:rsidR="00F10CC8" w:rsidRDefault="00E244D1" w:rsidP="00E244D1">
      <w:pPr>
        <w:pStyle w:val="BodyTextIndent2"/>
        <w:spacing w:after="0"/>
        <w:ind w:right="-567" w:firstLine="0"/>
        <w:jc w:val="center"/>
        <w:rPr>
          <w:rFonts w:ascii="Times New Roman" w:hAnsi="Times New Roman"/>
          <w:b/>
          <w:bCs/>
          <w:color w:val="000000"/>
          <w:sz w:val="26"/>
          <w:szCs w:val="26"/>
        </w:rPr>
      </w:pPr>
      <w:r w:rsidRPr="00F10CC8">
        <w:rPr>
          <w:rFonts w:ascii="Times New Roman" w:hAnsi="Times New Roman"/>
          <w:b/>
          <w:bCs/>
          <w:color w:val="000000"/>
          <w:sz w:val="26"/>
          <w:szCs w:val="26"/>
        </w:rPr>
        <w:t xml:space="preserve">Triển khai thực hiện Nghị quyết số 18/2025/NQ-HĐND ngày 14/11/2025 của HĐND tỉnh về chính sách </w:t>
      </w:r>
    </w:p>
    <w:p w14:paraId="5F86683C" w14:textId="14345CA0" w:rsidR="00E244D1" w:rsidRPr="00F10CC8" w:rsidRDefault="00E244D1" w:rsidP="00E244D1">
      <w:pPr>
        <w:pStyle w:val="BodyTextIndent2"/>
        <w:spacing w:after="0"/>
        <w:ind w:right="-567" w:firstLine="0"/>
        <w:jc w:val="center"/>
        <w:rPr>
          <w:rFonts w:ascii="Times New Roman" w:eastAsia="Times New Roman" w:hAnsi="Times New Roman"/>
          <w:b/>
          <w:bCs/>
          <w:sz w:val="26"/>
          <w:szCs w:val="26"/>
          <w:u w:color="FF0000"/>
        </w:rPr>
      </w:pPr>
      <w:r w:rsidRPr="00F10CC8">
        <w:rPr>
          <w:rFonts w:ascii="Times New Roman" w:hAnsi="Times New Roman"/>
          <w:b/>
          <w:bCs/>
          <w:color w:val="000000"/>
          <w:sz w:val="26"/>
          <w:szCs w:val="26"/>
        </w:rPr>
        <w:t xml:space="preserve">hỗ trợ ngư dân nâng cấp, thay thế thiết bị giám sát hành trình tàu cá </w:t>
      </w:r>
      <w:r w:rsidRPr="00F10CC8">
        <w:rPr>
          <w:rFonts w:ascii="Times New Roman" w:eastAsia="Times New Roman" w:hAnsi="Times New Roman"/>
          <w:b/>
          <w:bCs/>
          <w:sz w:val="26"/>
          <w:szCs w:val="26"/>
          <w:u w:color="FF0000"/>
        </w:rPr>
        <w:t>trên địa bàn tỉnh Tây Ninh</w:t>
      </w:r>
    </w:p>
    <w:p w14:paraId="7486B5FE" w14:textId="77777777" w:rsidR="000D65C8" w:rsidRPr="001724AF" w:rsidRDefault="000D65C8" w:rsidP="005C6626">
      <w:pPr>
        <w:jc w:val="center"/>
        <w:rPr>
          <w:b/>
        </w:rPr>
      </w:pPr>
    </w:p>
    <w:p w14:paraId="357D951A" w14:textId="77777777" w:rsidR="005C6626" w:rsidRPr="001724AF" w:rsidRDefault="005C6626" w:rsidP="005C6626">
      <w:pPr>
        <w:jc w:val="center"/>
        <w:rPr>
          <w:b/>
        </w:rPr>
      </w:pPr>
    </w:p>
    <w:tbl>
      <w:tblPr>
        <w:tblStyle w:val="TableGrid"/>
        <w:tblW w:w="14743" w:type="dxa"/>
        <w:tblInd w:w="-147" w:type="dxa"/>
        <w:tblLook w:val="04A0" w:firstRow="1" w:lastRow="0" w:firstColumn="1" w:lastColumn="0" w:noHBand="0" w:noVBand="1"/>
      </w:tblPr>
      <w:tblGrid>
        <w:gridCol w:w="1560"/>
        <w:gridCol w:w="5528"/>
        <w:gridCol w:w="3827"/>
        <w:gridCol w:w="3828"/>
      </w:tblGrid>
      <w:tr w:rsidR="00FB432B" w:rsidRPr="00FB432B" w14:paraId="358F224A" w14:textId="77777777" w:rsidTr="00F10CC8">
        <w:trPr>
          <w:trHeight w:val="300"/>
        </w:trPr>
        <w:tc>
          <w:tcPr>
            <w:tcW w:w="1560" w:type="dxa"/>
          </w:tcPr>
          <w:p w14:paraId="76B72287" w14:textId="25423056" w:rsidR="0062207E" w:rsidRPr="00FB432B" w:rsidRDefault="0062207E" w:rsidP="00F10CC8">
            <w:pPr>
              <w:jc w:val="center"/>
              <w:rPr>
                <w:b/>
                <w:bCs/>
                <w:lang w:val="en"/>
              </w:rPr>
            </w:pPr>
            <w:r w:rsidRPr="00FB432B">
              <w:rPr>
                <w:b/>
                <w:bCs/>
                <w:lang w:val="en"/>
              </w:rPr>
              <w:t>TT</w:t>
            </w:r>
          </w:p>
        </w:tc>
        <w:tc>
          <w:tcPr>
            <w:tcW w:w="5528" w:type="dxa"/>
          </w:tcPr>
          <w:p w14:paraId="6C3DECBA" w14:textId="4C36D839" w:rsidR="0062207E" w:rsidRPr="00FB432B" w:rsidRDefault="0062207E" w:rsidP="0045528E">
            <w:pPr>
              <w:jc w:val="center"/>
            </w:pPr>
            <w:r w:rsidRPr="00FB432B">
              <w:rPr>
                <w:b/>
                <w:bCs/>
                <w:lang w:val="en"/>
              </w:rPr>
              <w:t xml:space="preserve">DỰ THẢO </w:t>
            </w:r>
            <w:r w:rsidR="0045528E" w:rsidRPr="00FB432B">
              <w:rPr>
                <w:b/>
                <w:bCs/>
                <w:lang w:val="en"/>
              </w:rPr>
              <w:t>QĐ</w:t>
            </w:r>
            <w:r w:rsidRPr="00FB432B">
              <w:rPr>
                <w:b/>
                <w:bCs/>
                <w:lang w:val="en"/>
              </w:rPr>
              <w:t xml:space="preserve"> </w:t>
            </w:r>
            <w:r w:rsidR="0045528E" w:rsidRPr="00FB432B">
              <w:rPr>
                <w:b/>
                <w:bCs/>
                <w:lang w:val="en"/>
              </w:rPr>
              <w:t>UB</w:t>
            </w:r>
            <w:r w:rsidRPr="00FB432B">
              <w:rPr>
                <w:b/>
                <w:bCs/>
                <w:lang w:val="en"/>
              </w:rPr>
              <w:t>ND TỈNH</w:t>
            </w:r>
          </w:p>
        </w:tc>
        <w:tc>
          <w:tcPr>
            <w:tcW w:w="3827" w:type="dxa"/>
          </w:tcPr>
          <w:p w14:paraId="4CFA0F83" w14:textId="6F48C7EE" w:rsidR="0062207E" w:rsidRPr="00FB432B" w:rsidRDefault="0062207E" w:rsidP="00352F69">
            <w:pPr>
              <w:jc w:val="center"/>
              <w:rPr>
                <w:b/>
              </w:rPr>
            </w:pPr>
            <w:r w:rsidRPr="00FB432B">
              <w:rPr>
                <w:b/>
              </w:rPr>
              <w:t xml:space="preserve">CĂN CỨ </w:t>
            </w:r>
            <w:r w:rsidR="00EE7E65" w:rsidRPr="00FB432B">
              <w:rPr>
                <w:b/>
              </w:rPr>
              <w:t>PHÁP LÝ</w:t>
            </w:r>
          </w:p>
        </w:tc>
        <w:tc>
          <w:tcPr>
            <w:tcW w:w="3828" w:type="dxa"/>
          </w:tcPr>
          <w:p w14:paraId="06E26025" w14:textId="77777777" w:rsidR="0062207E" w:rsidRPr="00FB432B" w:rsidRDefault="0062207E" w:rsidP="00352F69">
            <w:pPr>
              <w:jc w:val="center"/>
              <w:rPr>
                <w:b/>
              </w:rPr>
            </w:pPr>
            <w:r w:rsidRPr="00FB432B">
              <w:rPr>
                <w:b/>
              </w:rPr>
              <w:t>THUYẾT MINH</w:t>
            </w:r>
          </w:p>
        </w:tc>
      </w:tr>
      <w:tr w:rsidR="00FB432B" w:rsidRPr="00FB432B" w14:paraId="2B678EC6" w14:textId="77777777" w:rsidTr="00F10CC8">
        <w:trPr>
          <w:trHeight w:val="1124"/>
        </w:trPr>
        <w:tc>
          <w:tcPr>
            <w:tcW w:w="1560" w:type="dxa"/>
          </w:tcPr>
          <w:p w14:paraId="2E04D5AB" w14:textId="0D61A9C5" w:rsidR="00145A70" w:rsidRPr="00FB432B" w:rsidRDefault="0045528E" w:rsidP="00F10CC8">
            <w:pPr>
              <w:spacing w:after="120"/>
              <w:jc w:val="center"/>
            </w:pPr>
            <w:r w:rsidRPr="00FB432B">
              <w:rPr>
                <w:rFonts w:eastAsia="Times New Roman"/>
                <w:b/>
                <w:bCs/>
              </w:rPr>
              <w:t>Điều 1.</w:t>
            </w:r>
          </w:p>
        </w:tc>
        <w:tc>
          <w:tcPr>
            <w:tcW w:w="5528" w:type="dxa"/>
          </w:tcPr>
          <w:p w14:paraId="0FE448BA"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ab/>
              <w:t>1. Phạm vi điều chỉnh: Theo quy định tại khoản 1 Điều 1 của Nghị quyết số 18/2025/NQ-HĐND.</w:t>
            </w:r>
          </w:p>
          <w:p w14:paraId="43C6BF8B"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b/>
                <w:sz w:val="28"/>
                <w:szCs w:val="28"/>
                <w:lang w:eastAsia="zh-CN"/>
              </w:rPr>
              <w:tab/>
            </w:r>
            <w:r w:rsidRPr="008C49C0">
              <w:rPr>
                <w:rFonts w:eastAsia="Yu Gothic;游ゴシック"/>
                <w:sz w:val="28"/>
                <w:szCs w:val="28"/>
                <w:lang w:eastAsia="zh-CN"/>
              </w:rPr>
              <w:t>2. Đối tượng áp dụng: Theo quy định tại khoản 2 Điều 1 của Nghị quyết số 18/2025/NQ-HĐND.</w:t>
            </w:r>
          </w:p>
          <w:p w14:paraId="3AAF0546"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3. Nguyên tắc hỗ trợ: Theo quy định tại Điều 2 của Nghị quyết số 18/2025/NQ-HĐND.</w:t>
            </w:r>
          </w:p>
          <w:p w14:paraId="676A16BC"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4. Nội dung và mức hỗ trợ: Theo quy định tại Điều 3 của Nghị quyết số 18/2025/NQ-HĐND.</w:t>
            </w:r>
          </w:p>
          <w:p w14:paraId="6BF70F00"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5. Điều kiện hỗ trợ: Theo quy định tại Điều 4 của Nghị quyết số 18/2025/NQ-HĐND.</w:t>
            </w:r>
          </w:p>
          <w:p w14:paraId="000751A3"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6. Thời gian hỗ trợ: Theo quy định tại Khoản 1 Điều 5 của Nghị quyết số 18/2025/NQ-HĐND.</w:t>
            </w:r>
          </w:p>
          <w:p w14:paraId="508C2D13" w14:textId="5CB40DCB" w:rsidR="00145A70" w:rsidRPr="00FB432B" w:rsidRDefault="008C49C0" w:rsidP="008C49C0">
            <w:pPr>
              <w:spacing w:before="120" w:after="120"/>
              <w:ind w:firstLine="709"/>
              <w:jc w:val="both"/>
              <w:rPr>
                <w:rFonts w:eastAsia="Yu Gothic;游ゴシック"/>
                <w:lang w:eastAsia="zh-CN"/>
              </w:rPr>
            </w:pPr>
            <w:r w:rsidRPr="008C49C0">
              <w:rPr>
                <w:rFonts w:eastAsia="Yu Gothic;游ゴシック"/>
                <w:sz w:val="28"/>
                <w:szCs w:val="28"/>
                <w:lang w:eastAsia="zh-CN"/>
              </w:rPr>
              <w:lastRenderedPageBreak/>
              <w:tab/>
              <w:t>7. Nguồn kinh phí hỗ trợ: Theo quy định tại Khoản 2 Điều 5 của Nghị quyết số 18/2025/NQ-HĐND.</w:t>
            </w:r>
          </w:p>
        </w:tc>
        <w:tc>
          <w:tcPr>
            <w:tcW w:w="3827" w:type="dxa"/>
          </w:tcPr>
          <w:p w14:paraId="28DE7FA9" w14:textId="0E1FAE73" w:rsidR="00F10B37" w:rsidRPr="00FB432B" w:rsidRDefault="00FE285F" w:rsidP="00145A70">
            <w:pPr>
              <w:jc w:val="both"/>
              <w:rPr>
                <w:rFonts w:eastAsia="Yu Gothic;游ゴシック"/>
                <w:lang w:eastAsia="zh-CN"/>
              </w:rPr>
            </w:pPr>
            <w:r w:rsidRPr="00FB432B">
              <w:rPr>
                <w:lang w:val="nb-NO"/>
              </w:rPr>
              <w:lastRenderedPageBreak/>
              <w:t>Khoản 1 Điều 6</w:t>
            </w:r>
            <w:r w:rsidR="0091637E" w:rsidRPr="00FB432B">
              <w:rPr>
                <w:lang w:val="nb-NO"/>
              </w:rPr>
              <w:t>; Điều 1, Điều 5 của</w:t>
            </w:r>
            <w:r w:rsidRPr="00FB432B">
              <w:rPr>
                <w:lang w:val="nb-NO"/>
              </w:rPr>
              <w:t xml:space="preserve"> </w:t>
            </w:r>
            <w:r w:rsidRPr="00FB432B">
              <w:rPr>
                <w:rFonts w:eastAsia="Yu Gothic;游ゴシック"/>
                <w:lang w:eastAsia="zh-CN"/>
              </w:rPr>
              <w:t>Nghị quyết số 18/2025/NQ-HĐND ngày 14/11/2025 của HĐND tỉnh</w:t>
            </w:r>
            <w:r w:rsidR="0091637E" w:rsidRPr="00FB432B">
              <w:rPr>
                <w:rFonts w:eastAsia="Yu Gothic;游ゴシック"/>
                <w:lang w:eastAsia="zh-CN"/>
              </w:rPr>
              <w:t>.</w:t>
            </w:r>
          </w:p>
          <w:p w14:paraId="7643EB5A" w14:textId="588A003A" w:rsidR="0091637E" w:rsidRPr="00FB432B" w:rsidRDefault="0091637E" w:rsidP="00145A70">
            <w:pPr>
              <w:jc w:val="both"/>
              <w:rPr>
                <w:lang w:val="nb-NO"/>
              </w:rPr>
            </w:pPr>
          </w:p>
        </w:tc>
        <w:tc>
          <w:tcPr>
            <w:tcW w:w="3828" w:type="dxa"/>
          </w:tcPr>
          <w:p w14:paraId="3B344558" w14:textId="77777777" w:rsidR="0091637E" w:rsidRPr="00FB432B" w:rsidRDefault="0091637E" w:rsidP="0091637E">
            <w:pPr>
              <w:jc w:val="both"/>
              <w:rPr>
                <w:rFonts w:eastAsia="Yu Gothic;游ゴシック"/>
                <w:lang w:eastAsia="zh-CN"/>
              </w:rPr>
            </w:pPr>
            <w:r w:rsidRPr="00FB432B">
              <w:rPr>
                <w:lang w:val="nb-NO"/>
              </w:rPr>
              <w:t xml:space="preserve">- </w:t>
            </w:r>
            <w:r w:rsidR="00294B43" w:rsidRPr="00FB432B">
              <w:rPr>
                <w:lang w:val="nb-NO"/>
              </w:rPr>
              <w:t>Để triển khai thực hiện</w:t>
            </w:r>
            <w:r w:rsidR="007245D6" w:rsidRPr="00FB432B">
              <w:rPr>
                <w:lang w:val="nb-NO"/>
              </w:rPr>
              <w:t xml:space="preserve"> Nghị quyết số </w:t>
            </w:r>
            <w:r w:rsidR="007245D6" w:rsidRPr="00FB432B">
              <w:rPr>
                <w:rFonts w:eastAsia="Yu Gothic;游ゴシック"/>
                <w:lang w:eastAsia="zh-CN"/>
              </w:rPr>
              <w:t xml:space="preserve">18/2025/NQ-HĐND ngày 14/11/2025 của HĐND tỉnh </w:t>
            </w:r>
            <w:r w:rsidR="00294B43" w:rsidRPr="00FB432B">
              <w:rPr>
                <w:rFonts w:eastAsia="Yu Gothic;游ゴシック"/>
                <w:lang w:eastAsia="zh-CN"/>
              </w:rPr>
              <w:t>thống nhất, đồng bộ</w:t>
            </w:r>
            <w:r w:rsidRPr="00FB432B">
              <w:rPr>
                <w:rFonts w:eastAsia="Yu Gothic;游ゴシック"/>
                <w:lang w:eastAsia="zh-CN"/>
              </w:rPr>
              <w:t>.</w:t>
            </w:r>
          </w:p>
          <w:p w14:paraId="3E645D99" w14:textId="4DF9D8DB" w:rsidR="0091637E" w:rsidRPr="00FB432B" w:rsidRDefault="0091637E" w:rsidP="0091637E">
            <w:pPr>
              <w:jc w:val="both"/>
              <w:rPr>
                <w:lang w:val="nb-NO"/>
              </w:rPr>
            </w:pPr>
            <w:r w:rsidRPr="00FB432B">
              <w:rPr>
                <w:lang w:val="nb-NO"/>
              </w:rPr>
              <w:t xml:space="preserve">- </w:t>
            </w:r>
            <w:r w:rsidRPr="00FB432B">
              <w:rPr>
                <w:rFonts w:eastAsia="Yu Gothic;游ゴシック"/>
                <w:lang w:eastAsia="zh-CN"/>
              </w:rPr>
              <w:t xml:space="preserve">Phạm vi điều chỉnh, Đối tượng áp dụng, </w:t>
            </w:r>
            <w:r w:rsidR="008C49C0" w:rsidRPr="00FB432B">
              <w:rPr>
                <w:rFonts w:eastAsia="Yu Gothic;游ゴシック"/>
                <w:lang w:eastAsia="zh-CN"/>
              </w:rPr>
              <w:t xml:space="preserve">Nguyên tắc hỗ trợ, Nội dung và mức hỗ trợ, Điều kiện hỗ trợ, </w:t>
            </w:r>
            <w:r w:rsidRPr="00FB432B">
              <w:rPr>
                <w:rFonts w:eastAsia="Yu Gothic;游ゴシック"/>
                <w:lang w:eastAsia="zh-CN"/>
              </w:rPr>
              <w:t xml:space="preserve">Thời gian hỗ trợ, Nguồn kinh phí hỗ trợ đã được quy định tại Điều 1, Điều 5 của </w:t>
            </w:r>
            <w:r w:rsidRPr="00FB432B">
              <w:rPr>
                <w:lang w:val="nb-NO"/>
              </w:rPr>
              <w:t xml:space="preserve">Nghị quyết số </w:t>
            </w:r>
            <w:r w:rsidRPr="00FB432B">
              <w:rPr>
                <w:rFonts w:eastAsia="Yu Gothic;游ゴシック"/>
                <w:lang w:eastAsia="zh-CN"/>
              </w:rPr>
              <w:t>18/2025/NQ-HĐND nên không lặp lại.</w:t>
            </w:r>
          </w:p>
        </w:tc>
      </w:tr>
      <w:tr w:rsidR="00FB432B" w:rsidRPr="00FB432B" w14:paraId="2F85785C" w14:textId="77777777" w:rsidTr="00F10CC8">
        <w:trPr>
          <w:trHeight w:val="1124"/>
        </w:trPr>
        <w:tc>
          <w:tcPr>
            <w:tcW w:w="1560" w:type="dxa"/>
          </w:tcPr>
          <w:p w14:paraId="77ED634D" w14:textId="77777777" w:rsidR="0085424E" w:rsidRPr="00FB432B" w:rsidRDefault="0085424E" w:rsidP="0085424E">
            <w:pPr>
              <w:spacing w:before="120" w:after="120"/>
              <w:jc w:val="center"/>
              <w:rPr>
                <w:rFonts w:eastAsia="Yu Gothic;游ゴシック"/>
                <w:b/>
                <w:bCs/>
                <w:lang w:val="vi-VN" w:eastAsia="zh-CN"/>
              </w:rPr>
            </w:pPr>
            <w:r w:rsidRPr="00FB432B">
              <w:rPr>
                <w:rFonts w:eastAsia="Yu Gothic;游ゴシック"/>
                <w:b/>
                <w:lang w:eastAsia="zh-CN"/>
              </w:rPr>
              <w:lastRenderedPageBreak/>
              <w:t>Điều 2.</w:t>
            </w:r>
            <w:r w:rsidRPr="00FB432B">
              <w:rPr>
                <w:rFonts w:eastAsia="Yu Gothic;游ゴシック"/>
                <w:lang w:eastAsia="zh-CN"/>
              </w:rPr>
              <w:t xml:space="preserve"> </w:t>
            </w:r>
            <w:r w:rsidRPr="00FB432B">
              <w:rPr>
                <w:rFonts w:eastAsia="Yu Gothic;游ゴシック"/>
                <w:b/>
                <w:bCs/>
                <w:lang w:eastAsia="zh-CN"/>
              </w:rPr>
              <w:t>Thủ tục, hồ sơ h</w:t>
            </w:r>
            <w:r w:rsidRPr="00FB432B">
              <w:rPr>
                <w:rFonts w:eastAsia="Yu Gothic;游ゴシック"/>
                <w:b/>
                <w:bCs/>
                <w:lang w:val="vi-VN" w:eastAsia="zh-CN"/>
              </w:rPr>
              <w:t xml:space="preserve">ỗ trợ kinh phí </w:t>
            </w:r>
            <w:r w:rsidRPr="00FB432B">
              <w:rPr>
                <w:rFonts w:eastAsia="Yu Gothic;游ゴシック"/>
                <w:b/>
                <w:bCs/>
                <w:lang w:eastAsia="zh-CN"/>
              </w:rPr>
              <w:t xml:space="preserve">nâng cấp/thay thế/lắp đặt mới </w:t>
            </w:r>
            <w:r w:rsidRPr="00FB432B">
              <w:rPr>
                <w:rFonts w:eastAsia="Yu Gothic;游ゴシック"/>
                <w:b/>
                <w:bCs/>
                <w:lang w:val="vi-VN" w:eastAsia="zh-CN"/>
              </w:rPr>
              <w:t>thiết bị giám sát hành trình</w:t>
            </w:r>
          </w:p>
          <w:p w14:paraId="3875469E" w14:textId="77777777" w:rsidR="0085424E" w:rsidRPr="00FB432B" w:rsidRDefault="0085424E" w:rsidP="00F10CC8">
            <w:pPr>
              <w:spacing w:after="120"/>
              <w:jc w:val="center"/>
              <w:rPr>
                <w:rFonts w:eastAsia="Times New Roman"/>
                <w:b/>
                <w:bCs/>
              </w:rPr>
            </w:pPr>
          </w:p>
        </w:tc>
        <w:tc>
          <w:tcPr>
            <w:tcW w:w="5528" w:type="dxa"/>
          </w:tcPr>
          <w:p w14:paraId="4AB55D69" w14:textId="77777777" w:rsidR="00B5427C" w:rsidRPr="00FB432B" w:rsidRDefault="00B5427C" w:rsidP="00B5427C">
            <w:pPr>
              <w:spacing w:before="120" w:after="120"/>
              <w:ind w:firstLine="567"/>
              <w:jc w:val="both"/>
              <w:rPr>
                <w:rFonts w:eastAsia="Yu Gothic;游ゴシック"/>
                <w:lang w:eastAsia="zh-CN"/>
              </w:rPr>
            </w:pPr>
            <w:r w:rsidRPr="00FB432B">
              <w:rPr>
                <w:rFonts w:eastAsia="Yu Gothic;游ゴシック"/>
                <w:b/>
                <w:bCs/>
                <w:lang w:eastAsia="zh-CN"/>
              </w:rPr>
              <w:t xml:space="preserve">1. Thành phần hồ sơ: </w:t>
            </w:r>
          </w:p>
          <w:p w14:paraId="2ACD6BCC" w14:textId="77777777" w:rsidR="00B5427C" w:rsidRPr="00FB432B" w:rsidRDefault="00B5427C" w:rsidP="00B5427C">
            <w:pPr>
              <w:shd w:val="clear" w:color="auto" w:fill="FFFFFF"/>
              <w:tabs>
                <w:tab w:val="left" w:pos="851"/>
              </w:tabs>
              <w:spacing w:before="120" w:after="120"/>
              <w:ind w:firstLine="567"/>
              <w:jc w:val="both"/>
              <w:rPr>
                <w:rFonts w:eastAsia="Times New Roman"/>
                <w:lang w:val="vi-VN" w:eastAsia="vi-VN"/>
              </w:rPr>
            </w:pPr>
            <w:r w:rsidRPr="00FB432B">
              <w:rPr>
                <w:rFonts w:eastAsia="Times New Roman"/>
                <w:lang w:eastAsia="vi-VN"/>
              </w:rPr>
              <w:t xml:space="preserve">a) </w:t>
            </w:r>
            <w:r w:rsidRPr="00FB432B">
              <w:rPr>
                <w:rFonts w:eastAsia="Times New Roman"/>
                <w:lang w:val="vi-VN" w:eastAsia="vi-VN"/>
              </w:rPr>
              <w:t xml:space="preserve">Đơn đề nghị hỗ trợ của </w:t>
            </w:r>
            <w:r w:rsidRPr="00FB432B">
              <w:rPr>
                <w:rFonts w:eastAsia="Times New Roman"/>
                <w:lang w:eastAsia="vi-VN"/>
              </w:rPr>
              <w:t>ngư dân</w:t>
            </w:r>
            <w:r w:rsidRPr="00FB432B">
              <w:rPr>
                <w:rFonts w:eastAsia="Times New Roman"/>
                <w:lang w:val="vi-VN" w:eastAsia="vi-VN"/>
              </w:rPr>
              <w:t xml:space="preserve"> (theo mẫu);</w:t>
            </w:r>
          </w:p>
          <w:p w14:paraId="25AD451B" w14:textId="77777777" w:rsidR="00B5427C" w:rsidRPr="00FB432B" w:rsidRDefault="00B5427C" w:rsidP="00B5427C">
            <w:pPr>
              <w:shd w:val="clear" w:color="auto" w:fill="FFFFFF"/>
              <w:tabs>
                <w:tab w:val="left" w:pos="851"/>
              </w:tabs>
              <w:spacing w:before="120" w:after="120"/>
              <w:ind w:firstLine="567"/>
              <w:jc w:val="both"/>
              <w:rPr>
                <w:rFonts w:eastAsia="Times New Roman"/>
                <w:lang w:eastAsia="vi-VN"/>
              </w:rPr>
            </w:pPr>
            <w:r w:rsidRPr="00FB432B">
              <w:rPr>
                <w:rFonts w:eastAsia="Times New Roman"/>
                <w:lang w:eastAsia="vi-VN"/>
              </w:rPr>
              <w:t xml:space="preserve">b) Bản sao các giấy tờ sau: </w:t>
            </w:r>
            <w:r w:rsidRPr="00FB432B">
              <w:rPr>
                <w:rFonts w:eastAsia="Times New Roman"/>
                <w:lang w:val="vi-VN" w:eastAsia="vi-VN"/>
              </w:rPr>
              <w:t>Giấy chứng nhận đăng ký tàu cá, Giấy phép khai thác thủy sản, Giấy chứng nhận an toàn kỹ thuật tàu cá</w:t>
            </w:r>
            <w:r w:rsidRPr="00FB432B">
              <w:rPr>
                <w:rFonts w:eastAsia="Times New Roman"/>
                <w:lang w:eastAsia="vi-VN"/>
              </w:rPr>
              <w:t xml:space="preserve">, </w:t>
            </w:r>
            <w:r w:rsidRPr="00FB432B">
              <w:rPr>
                <w:rFonts w:eastAsia="SimSun"/>
              </w:rPr>
              <w:t>Giấy phép sử dụng tần số và thiết bị vô tuyến điện đối với đài vô tuyến điện đặt trên phương tiện nghề cá.</w:t>
            </w:r>
          </w:p>
          <w:p w14:paraId="0340E80A" w14:textId="77777777" w:rsidR="00B5427C" w:rsidRPr="00FB432B" w:rsidRDefault="00B5427C" w:rsidP="00B5427C">
            <w:pPr>
              <w:shd w:val="clear" w:color="auto" w:fill="FFFFFF"/>
              <w:tabs>
                <w:tab w:val="left" w:pos="851"/>
              </w:tabs>
              <w:spacing w:before="120" w:after="120"/>
              <w:ind w:firstLine="567"/>
              <w:jc w:val="both"/>
              <w:rPr>
                <w:rFonts w:eastAsia="Times New Roman"/>
                <w:lang w:eastAsia="vi-VN"/>
              </w:rPr>
            </w:pPr>
            <w:r w:rsidRPr="00FB432B">
              <w:rPr>
                <w:rFonts w:eastAsia="Times New Roman"/>
                <w:lang w:eastAsia="vi-VN"/>
              </w:rPr>
              <w:t>c) Phiếu khai báo thông tin lắp đặt và kích hoạt dịch vụ thiết bị giám sát hành trình tàu cá của chủ tàu cá theo mẫu số 02.KT phụ lục II kèm theo Nghị định số 41/2026/NĐ-CP ngày 25/01/2026 của Chính phủ quy định chi tiết một số điều và biện pháp thi hành Luật Thủy sản.</w:t>
            </w:r>
          </w:p>
          <w:p w14:paraId="6C128931" w14:textId="77777777" w:rsidR="00B5427C" w:rsidRPr="00FB432B" w:rsidRDefault="00B5427C" w:rsidP="00B5427C">
            <w:pPr>
              <w:shd w:val="clear" w:color="auto" w:fill="FFFFFF"/>
              <w:tabs>
                <w:tab w:val="left" w:pos="851"/>
              </w:tabs>
              <w:spacing w:before="120" w:after="120"/>
              <w:ind w:firstLine="567"/>
              <w:jc w:val="both"/>
              <w:rPr>
                <w:rFonts w:eastAsia="Times New Roman"/>
                <w:lang w:val="vi-VN" w:eastAsia="vi-VN"/>
              </w:rPr>
            </w:pPr>
            <w:r w:rsidRPr="00FB432B">
              <w:rPr>
                <w:rFonts w:eastAsia="Times New Roman"/>
                <w:lang w:eastAsia="vi-VN"/>
              </w:rPr>
              <w:t xml:space="preserve">d) </w:t>
            </w:r>
            <w:r w:rsidRPr="00FB432B">
              <w:rPr>
                <w:rFonts w:eastAsia="Times New Roman"/>
                <w:lang w:val="vi-VN" w:eastAsia="vi-VN"/>
              </w:rPr>
              <w:t>Hóa đơn</w:t>
            </w:r>
            <w:r w:rsidRPr="00FB432B">
              <w:rPr>
                <w:rFonts w:eastAsia="Times New Roman"/>
                <w:lang w:eastAsia="vi-VN"/>
              </w:rPr>
              <w:t xml:space="preserve">, hồ sơ, </w:t>
            </w:r>
            <w:r w:rsidRPr="00FB432B">
              <w:rPr>
                <w:rFonts w:eastAsia="Times New Roman"/>
                <w:lang w:val="vi-VN" w:eastAsia="vi-VN"/>
              </w:rPr>
              <w:t xml:space="preserve">chứng từ hợp lệ </w:t>
            </w:r>
            <w:r w:rsidRPr="00FB432B">
              <w:rPr>
                <w:rFonts w:eastAsia="Times New Roman"/>
                <w:lang w:eastAsia="vi-VN"/>
              </w:rPr>
              <w:t>mua mới/nâng cấp</w:t>
            </w:r>
            <w:r w:rsidRPr="00FB432B">
              <w:rPr>
                <w:rFonts w:eastAsia="Times New Roman"/>
                <w:lang w:val="vi-VN" w:eastAsia="vi-VN"/>
              </w:rPr>
              <w:t xml:space="preserve"> thiết bị giám sát hành trình tàu cá của đơn vị cung cấp dịch vụ giám sát hành trình tàu cá (bản chính).</w:t>
            </w:r>
          </w:p>
          <w:p w14:paraId="0622DA74" w14:textId="71E8C059" w:rsidR="0085424E" w:rsidRPr="00FB432B" w:rsidRDefault="00B5427C" w:rsidP="00B5427C">
            <w:pPr>
              <w:shd w:val="clear" w:color="auto" w:fill="FFFFFF"/>
              <w:tabs>
                <w:tab w:val="left" w:pos="851"/>
              </w:tabs>
              <w:spacing w:before="120" w:after="120"/>
              <w:ind w:firstLine="567"/>
              <w:jc w:val="both"/>
              <w:rPr>
                <w:rFonts w:eastAsia="Times New Roman"/>
                <w:bCs/>
              </w:rPr>
            </w:pPr>
            <w:r w:rsidRPr="00FB432B">
              <w:rPr>
                <w:rFonts w:eastAsia="Times New Roman"/>
                <w:b/>
                <w:lang w:eastAsia="vi-VN"/>
              </w:rPr>
              <w:t>2. Thời gian giải quyết:</w:t>
            </w:r>
            <w:r w:rsidRPr="00FB432B">
              <w:rPr>
                <w:rFonts w:eastAsia="Times New Roman"/>
                <w:lang w:eastAsia="vi-VN"/>
              </w:rPr>
              <w:t xml:space="preserve"> </w:t>
            </w:r>
            <w:r w:rsidRPr="00FB432B">
              <w:rPr>
                <w:rFonts w:eastAsia="Times New Roman"/>
              </w:rPr>
              <w:t>19 ngày kể từ ngày nhận</w:t>
            </w:r>
            <w:r w:rsidRPr="00FB432B">
              <w:rPr>
                <w:rFonts w:eastAsia="SimSun"/>
              </w:rPr>
              <w:t xml:space="preserve"> được</w:t>
            </w:r>
            <w:r w:rsidRPr="00FB432B">
              <w:rPr>
                <w:rFonts w:eastAsia="Times New Roman"/>
              </w:rPr>
              <w:t xml:space="preserve"> hồ sơ </w:t>
            </w:r>
            <w:r w:rsidRPr="00FB432B">
              <w:rPr>
                <w:rFonts w:eastAsia="SimSun"/>
              </w:rPr>
              <w:t>đầy đủ</w:t>
            </w:r>
            <w:r w:rsidRPr="00FB432B">
              <w:rPr>
                <w:rFonts w:eastAsia="Times New Roman"/>
                <w:lang w:eastAsia="vi-VN"/>
              </w:rPr>
              <w:t>.</w:t>
            </w:r>
          </w:p>
        </w:tc>
        <w:tc>
          <w:tcPr>
            <w:tcW w:w="3827" w:type="dxa"/>
          </w:tcPr>
          <w:p w14:paraId="51684192" w14:textId="5A16D764" w:rsidR="00DD676C" w:rsidRPr="00FB432B" w:rsidRDefault="00DD676C" w:rsidP="00513214">
            <w:pPr>
              <w:shd w:val="clear" w:color="auto" w:fill="FFFFFF"/>
              <w:spacing w:after="120"/>
              <w:jc w:val="both"/>
              <w:rPr>
                <w:rFonts w:eastAsia="Times New Roman"/>
                <w:lang w:eastAsia="vi-VN"/>
              </w:rPr>
            </w:pPr>
            <w:r w:rsidRPr="00FB432B">
              <w:rPr>
                <w:rFonts w:eastAsia="Times New Roman"/>
                <w:lang w:eastAsia="vi-VN"/>
              </w:rPr>
              <w:t>- Đơn đề nghị (theo mẫu)</w:t>
            </w:r>
            <w:r w:rsidR="00691911" w:rsidRPr="00FB432B">
              <w:rPr>
                <w:rFonts w:eastAsia="Times New Roman"/>
                <w:lang w:eastAsia="vi-VN"/>
              </w:rPr>
              <w:t xml:space="preserve"> ban hành kèm theo Quyết định.</w:t>
            </w:r>
          </w:p>
          <w:p w14:paraId="1491CF09" w14:textId="487BD35C" w:rsidR="00513214" w:rsidRPr="00FB432B" w:rsidRDefault="00513214" w:rsidP="00513214">
            <w:pPr>
              <w:shd w:val="clear" w:color="auto" w:fill="FFFFFF"/>
              <w:spacing w:after="120"/>
              <w:jc w:val="both"/>
              <w:rPr>
                <w:rFonts w:eastAsia="Times New Roman"/>
                <w:lang w:eastAsia="vi-VN"/>
              </w:rPr>
            </w:pPr>
            <w:r w:rsidRPr="00FB432B">
              <w:rPr>
                <w:rFonts w:eastAsia="Times New Roman"/>
                <w:lang w:eastAsia="vi-VN"/>
              </w:rPr>
              <w:t xml:space="preserve">- </w:t>
            </w:r>
            <w:r w:rsidRPr="00FB432B">
              <w:rPr>
                <w:rFonts w:eastAsia="Times New Roman"/>
                <w:lang w:val="vi-VN" w:eastAsia="vi-VN"/>
              </w:rPr>
              <w:t>Giấy chứng nhận đăng ký tàu cá</w:t>
            </w:r>
            <w:r w:rsidRPr="00FB432B">
              <w:rPr>
                <w:rFonts w:eastAsia="Times New Roman"/>
                <w:lang w:eastAsia="vi-VN"/>
              </w:rPr>
              <w:t>: Khoản 9, khoản 18 Điều 5 Thông tư số 01/2022/TT-BNNPTNT (Phụ lục XVI); Điểm c, d, đ khoản 2 Điều 21 Thông tư số 23/2018/TT-BNNPTNT.</w:t>
            </w:r>
          </w:p>
          <w:p w14:paraId="38C059F9" w14:textId="360BBC36" w:rsidR="00513214" w:rsidRPr="00FB432B" w:rsidRDefault="00513214" w:rsidP="00513214">
            <w:pPr>
              <w:shd w:val="clear" w:color="auto" w:fill="FFFFFF"/>
              <w:spacing w:after="120"/>
              <w:jc w:val="both"/>
              <w:rPr>
                <w:rFonts w:eastAsia="Times New Roman"/>
                <w:lang w:eastAsia="vi-VN"/>
              </w:rPr>
            </w:pPr>
            <w:r w:rsidRPr="00FB432B">
              <w:rPr>
                <w:rFonts w:eastAsia="Times New Roman"/>
                <w:lang w:eastAsia="vi-VN"/>
              </w:rPr>
              <w:t xml:space="preserve">- </w:t>
            </w:r>
            <w:r w:rsidRPr="00FB432B">
              <w:rPr>
                <w:rFonts w:eastAsia="Times New Roman"/>
                <w:lang w:val="vi-VN" w:eastAsia="vi-VN"/>
              </w:rPr>
              <w:t>Giấy phép khai thác thủy sản</w:t>
            </w:r>
            <w:r w:rsidR="00AA2F24" w:rsidRPr="00FB432B">
              <w:rPr>
                <w:rFonts w:eastAsia="Times New Roman"/>
                <w:lang w:eastAsia="vi-VN"/>
              </w:rPr>
              <w:t xml:space="preserve">: Khoản </w:t>
            </w:r>
            <w:r w:rsidR="00376144" w:rsidRPr="00FB432B">
              <w:rPr>
                <w:rFonts w:eastAsia="Times New Roman"/>
                <w:lang w:eastAsia="vi-VN"/>
              </w:rPr>
              <w:t>1</w:t>
            </w:r>
            <w:r w:rsidR="00AA2F24" w:rsidRPr="00FB432B">
              <w:rPr>
                <w:rFonts w:eastAsia="Times New Roman"/>
                <w:lang w:eastAsia="vi-VN"/>
              </w:rPr>
              <w:t xml:space="preserve"> </w:t>
            </w:r>
            <w:r w:rsidRPr="00FB432B">
              <w:rPr>
                <w:rFonts w:eastAsia="Times New Roman"/>
                <w:lang w:eastAsia="vi-VN"/>
              </w:rPr>
              <w:t>Điều 2</w:t>
            </w:r>
            <w:r w:rsidR="00376144" w:rsidRPr="00FB432B">
              <w:rPr>
                <w:rFonts w:eastAsia="Times New Roman"/>
                <w:lang w:eastAsia="vi-VN"/>
              </w:rPr>
              <w:t>7</w:t>
            </w:r>
            <w:r w:rsidRPr="00FB432B">
              <w:rPr>
                <w:rFonts w:eastAsia="Times New Roman"/>
                <w:lang w:eastAsia="vi-VN"/>
              </w:rPr>
              <w:t xml:space="preserve"> </w:t>
            </w:r>
            <w:r w:rsidR="00376144" w:rsidRPr="00FB432B">
              <w:rPr>
                <w:rFonts w:eastAsia="Times New Roman"/>
                <w:lang w:eastAsia="vi-VN"/>
              </w:rPr>
              <w:t>Nghị định số 41</w:t>
            </w:r>
            <w:r w:rsidRPr="00FB432B">
              <w:rPr>
                <w:rFonts w:eastAsia="Times New Roman"/>
                <w:lang w:eastAsia="vi-VN"/>
              </w:rPr>
              <w:t>/</w:t>
            </w:r>
            <w:r w:rsidR="00695FF9" w:rsidRPr="00FB432B">
              <w:rPr>
                <w:rFonts w:eastAsia="Times New Roman"/>
                <w:lang w:eastAsia="vi-VN"/>
              </w:rPr>
              <w:t>2026/</w:t>
            </w:r>
            <w:r w:rsidRPr="00FB432B">
              <w:rPr>
                <w:rFonts w:eastAsia="Times New Roman"/>
                <w:lang w:eastAsia="vi-VN"/>
              </w:rPr>
              <w:t>NĐ-C</w:t>
            </w:r>
            <w:r w:rsidR="00376144" w:rsidRPr="00FB432B">
              <w:rPr>
                <w:rFonts w:eastAsia="Times New Roman"/>
                <w:lang w:eastAsia="vi-VN"/>
              </w:rPr>
              <w:t>P.</w:t>
            </w:r>
          </w:p>
          <w:p w14:paraId="46487DCC" w14:textId="77777777" w:rsidR="00513214" w:rsidRPr="00FB432B" w:rsidRDefault="00513214" w:rsidP="00513214">
            <w:pPr>
              <w:shd w:val="clear" w:color="auto" w:fill="FFFFFF"/>
              <w:spacing w:after="120"/>
              <w:jc w:val="both"/>
              <w:rPr>
                <w:rFonts w:eastAsia="Times New Roman"/>
                <w:lang w:eastAsia="vi-VN"/>
              </w:rPr>
            </w:pPr>
            <w:r w:rsidRPr="00FB432B">
              <w:rPr>
                <w:rFonts w:eastAsia="Times New Roman"/>
                <w:lang w:eastAsia="vi-VN"/>
              </w:rPr>
              <w:t xml:space="preserve">- </w:t>
            </w:r>
            <w:r w:rsidRPr="00FB432B">
              <w:rPr>
                <w:rFonts w:eastAsia="Times New Roman"/>
                <w:lang w:val="vi-VN" w:eastAsia="vi-VN"/>
              </w:rPr>
              <w:t>Giấy chứng nhận an toàn kỹ thuật tàu cá</w:t>
            </w:r>
            <w:r w:rsidRPr="00FB432B">
              <w:rPr>
                <w:rFonts w:eastAsia="Times New Roman"/>
                <w:lang w:eastAsia="vi-VN"/>
              </w:rPr>
              <w:t>: khoản 8 Điều 5 Thông tư số 01/2022/TT-BNNPTNT; khoản 1, 2, 3 Điều 17 Thông tư số 23/2018/TT-BNNPTNT.</w:t>
            </w:r>
          </w:p>
          <w:p w14:paraId="660EDADE" w14:textId="77777777" w:rsidR="00513214" w:rsidRPr="00FB432B" w:rsidRDefault="00513214" w:rsidP="00513214">
            <w:pPr>
              <w:shd w:val="clear" w:color="auto" w:fill="FFFFFF"/>
              <w:spacing w:after="120"/>
              <w:jc w:val="both"/>
              <w:rPr>
                <w:rFonts w:eastAsia="SimSun"/>
              </w:rPr>
            </w:pPr>
            <w:r w:rsidRPr="00FB432B">
              <w:rPr>
                <w:rFonts w:eastAsia="SimSun"/>
              </w:rPr>
              <w:t xml:space="preserve">- Giấy phép sử dụng tần số và thiết bị vô tuyến điện đối với đài vô tuyến điện đặt trên phương tiện nghề cá: theo quy định tại khoản 2 Điều 5 Nghị định số 63/2023/NĐ-CP ngày 18/8/2023 của Chính phủ quy định chi tiết một số điều của Luật Tần số vô tuyến điện số 42/2009/QH12, được sửa đổi, bổ </w:t>
            </w:r>
            <w:r w:rsidRPr="00FB432B">
              <w:rPr>
                <w:rFonts w:eastAsia="SimSun"/>
              </w:rPr>
              <w:lastRenderedPageBreak/>
              <w:t>sung một số điều theo Luật số 09/2022/QH15.</w:t>
            </w:r>
          </w:p>
          <w:p w14:paraId="02235508" w14:textId="0130928A" w:rsidR="0085424E" w:rsidRPr="00FB432B" w:rsidRDefault="00513214" w:rsidP="00DD676C">
            <w:pPr>
              <w:shd w:val="clear" w:color="auto" w:fill="FFFFFF"/>
              <w:spacing w:after="120"/>
              <w:jc w:val="both"/>
              <w:rPr>
                <w:lang w:val="nb-NO"/>
              </w:rPr>
            </w:pPr>
            <w:r w:rsidRPr="00FB432B">
              <w:rPr>
                <w:rFonts w:eastAsia="SimSun"/>
              </w:rPr>
              <w:t xml:space="preserve">- Phiếu khai báo thông tin lắp đặt: điểm </w:t>
            </w:r>
            <w:r w:rsidR="00DD676C" w:rsidRPr="00FB432B">
              <w:rPr>
                <w:rFonts w:eastAsia="SimSun"/>
              </w:rPr>
              <w:t>c</w:t>
            </w:r>
            <w:r w:rsidRPr="00FB432B">
              <w:rPr>
                <w:rFonts w:eastAsia="SimSun"/>
              </w:rPr>
              <w:t xml:space="preserve"> khoản </w:t>
            </w:r>
            <w:r w:rsidR="00DD676C" w:rsidRPr="00FB432B">
              <w:rPr>
                <w:rFonts w:eastAsia="SimSun"/>
              </w:rPr>
              <w:t>9</w:t>
            </w:r>
            <w:r w:rsidRPr="00FB432B">
              <w:rPr>
                <w:rFonts w:eastAsia="SimSun"/>
              </w:rPr>
              <w:t xml:space="preserve"> Điề</w:t>
            </w:r>
            <w:r w:rsidR="00DD676C" w:rsidRPr="00FB432B">
              <w:rPr>
                <w:rFonts w:eastAsia="SimSun"/>
              </w:rPr>
              <w:t>u 26</w:t>
            </w:r>
            <w:r w:rsidRPr="00FB432B">
              <w:rPr>
                <w:rFonts w:eastAsia="SimSun"/>
              </w:rPr>
              <w:t xml:space="preserve"> của </w:t>
            </w:r>
            <w:r w:rsidRPr="00FB432B">
              <w:rPr>
                <w:rFonts w:eastAsia="Times New Roman"/>
                <w:lang w:eastAsia="vi-VN"/>
              </w:rPr>
              <w:t xml:space="preserve">Nghị định số </w:t>
            </w:r>
            <w:r w:rsidR="00DD676C" w:rsidRPr="00FB432B">
              <w:rPr>
                <w:rFonts w:eastAsia="Times New Roman"/>
                <w:lang w:eastAsia="vi-VN"/>
              </w:rPr>
              <w:t>41</w:t>
            </w:r>
            <w:r w:rsidRPr="00FB432B">
              <w:rPr>
                <w:rFonts w:eastAsia="Times New Roman"/>
                <w:lang w:eastAsia="vi-VN"/>
              </w:rPr>
              <w:t>/</w:t>
            </w:r>
            <w:r w:rsidR="00695FF9" w:rsidRPr="00FB432B">
              <w:rPr>
                <w:rFonts w:eastAsia="Times New Roman"/>
                <w:lang w:eastAsia="vi-VN"/>
              </w:rPr>
              <w:t>2026/</w:t>
            </w:r>
            <w:r w:rsidRPr="00FB432B">
              <w:rPr>
                <w:rFonts w:eastAsia="Times New Roman"/>
                <w:lang w:eastAsia="vi-VN"/>
              </w:rPr>
              <w:t>NĐ-CP.</w:t>
            </w:r>
          </w:p>
        </w:tc>
        <w:tc>
          <w:tcPr>
            <w:tcW w:w="3828" w:type="dxa"/>
          </w:tcPr>
          <w:p w14:paraId="2081D2EC" w14:textId="6353A9D1" w:rsidR="0085424E" w:rsidRPr="00FB432B" w:rsidRDefault="00596DB7" w:rsidP="0091637E">
            <w:pPr>
              <w:jc w:val="both"/>
              <w:rPr>
                <w:lang w:val="nb-NO"/>
              </w:rPr>
            </w:pPr>
            <w:r w:rsidRPr="00FB432B">
              <w:rPr>
                <w:lang w:val="nb-NO"/>
              </w:rPr>
              <w:lastRenderedPageBreak/>
              <w:t>Sở Nông nghiệp và Môi trường sẽ tham mưu UBND tỉnh ban hành Quyết định công bố thủ tục hành chính về ‘</w:t>
            </w:r>
            <w:r w:rsidRPr="00FB432B">
              <w:rPr>
                <w:i/>
                <w:lang w:val="nb-NO"/>
              </w:rPr>
              <w:t>Thủ tục, hồ sơ hỗ trợ kinh phí nâng cấp/thay thế/lắp đặt mới thiết bị giám sát hành trình’.</w:t>
            </w:r>
          </w:p>
        </w:tc>
      </w:tr>
      <w:tr w:rsidR="00FB432B" w:rsidRPr="00FB432B" w14:paraId="6C285292" w14:textId="77777777" w:rsidTr="00F10CC8">
        <w:trPr>
          <w:trHeight w:val="1124"/>
        </w:trPr>
        <w:tc>
          <w:tcPr>
            <w:tcW w:w="1560" w:type="dxa"/>
          </w:tcPr>
          <w:p w14:paraId="49B29D9F" w14:textId="0735A3BC" w:rsidR="0091637E" w:rsidRPr="00FB432B" w:rsidRDefault="0091637E" w:rsidP="00F10CC8">
            <w:pPr>
              <w:widowControl w:val="0"/>
              <w:suppressAutoHyphens/>
              <w:spacing w:after="120"/>
              <w:jc w:val="center"/>
              <w:rPr>
                <w:lang w:val="nb-NO"/>
              </w:rPr>
            </w:pPr>
            <w:r w:rsidRPr="00FB432B">
              <w:rPr>
                <w:rFonts w:eastAsia="Yu Gothic;游ゴシック"/>
                <w:b/>
                <w:lang w:val="vi-VN" w:eastAsia="zh-CN"/>
              </w:rPr>
              <w:lastRenderedPageBreak/>
              <w:t>Điề</w:t>
            </w:r>
            <w:r w:rsidR="0085424E" w:rsidRPr="00FB432B">
              <w:rPr>
                <w:rFonts w:eastAsia="Yu Gothic;游ゴシック"/>
                <w:b/>
                <w:lang w:val="vi-VN" w:eastAsia="zh-CN"/>
              </w:rPr>
              <w:t xml:space="preserve">u </w:t>
            </w:r>
            <w:r w:rsidR="0085424E" w:rsidRPr="00FB432B">
              <w:rPr>
                <w:rFonts w:eastAsia="Yu Gothic;游ゴシック"/>
                <w:b/>
                <w:lang w:eastAsia="zh-CN"/>
              </w:rPr>
              <w:t>3</w:t>
            </w:r>
            <w:r w:rsidRPr="00FB432B">
              <w:rPr>
                <w:rFonts w:eastAsia="Yu Gothic;游ゴシック"/>
                <w:b/>
                <w:lang w:val="vi-VN" w:eastAsia="zh-CN"/>
              </w:rPr>
              <w:t xml:space="preserve">. </w:t>
            </w:r>
            <w:r w:rsidRPr="00FB432B">
              <w:rPr>
                <w:rFonts w:eastAsia="Times New Roman"/>
                <w:b/>
                <w:bCs/>
                <w:lang w:val="vi-VN" w:eastAsia="vi-VN"/>
              </w:rPr>
              <w:t>Trình tự thực hiện</w:t>
            </w:r>
          </w:p>
        </w:tc>
        <w:tc>
          <w:tcPr>
            <w:tcW w:w="5528" w:type="dxa"/>
          </w:tcPr>
          <w:p w14:paraId="3424AAE5"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eastAsia="vi-VN"/>
              </w:rPr>
            </w:pPr>
            <w:r w:rsidRPr="008C49C0">
              <w:rPr>
                <w:rFonts w:eastAsia="SimSun"/>
                <w:sz w:val="28"/>
                <w:szCs w:val="28"/>
                <w:lang w:eastAsia="vi-VN"/>
              </w:rPr>
              <w:t xml:space="preserve">1. </w:t>
            </w:r>
            <w:r w:rsidRPr="008C49C0">
              <w:rPr>
                <w:rFonts w:eastAsia="SimSun"/>
                <w:sz w:val="28"/>
                <w:szCs w:val="28"/>
              </w:rPr>
              <w:t xml:space="preserve">Tổ chức, cá nhân nộp 01 bộ hồ sơ đề nghị hỗ trợ kinh phí </w:t>
            </w:r>
            <w:r w:rsidRPr="008C49C0">
              <w:rPr>
                <w:rFonts w:eastAsia="Yu Gothic;游ゴシック"/>
                <w:sz w:val="28"/>
                <w:szCs w:val="28"/>
                <w:lang w:eastAsia="zh-CN"/>
              </w:rPr>
              <w:t>nâng cấp/thay thế/lắp đặt mới</w:t>
            </w:r>
            <w:r w:rsidRPr="008C49C0">
              <w:rPr>
                <w:rFonts w:eastAsia="Yu Gothic;游ゴシック"/>
                <w:b/>
                <w:bCs/>
                <w:sz w:val="28"/>
                <w:szCs w:val="28"/>
                <w:lang w:eastAsia="zh-CN"/>
              </w:rPr>
              <w:t xml:space="preserve"> </w:t>
            </w:r>
            <w:r w:rsidRPr="008C49C0">
              <w:rPr>
                <w:rFonts w:eastAsia="SimSun"/>
                <w:bCs/>
                <w:sz w:val="28"/>
                <w:szCs w:val="28"/>
                <w:lang w:val="nl-NL"/>
              </w:rPr>
              <w:t>thiết bị giám sát hành trình tàu cá</w:t>
            </w:r>
            <w:r w:rsidRPr="008C49C0">
              <w:rPr>
                <w:rFonts w:eastAsia="SimSun"/>
                <w:sz w:val="28"/>
                <w:szCs w:val="28"/>
              </w:rPr>
              <w:t xml:space="preserve"> đến Sở Nông nghiệp và Môi trường</w:t>
            </w:r>
          </w:p>
          <w:p w14:paraId="7DBCD38D"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eastAsia="vi-VN"/>
              </w:rPr>
            </w:pPr>
            <w:r w:rsidRPr="008C49C0">
              <w:rPr>
                <w:rFonts w:eastAsia="SimSun"/>
                <w:sz w:val="28"/>
                <w:szCs w:val="28"/>
                <w:lang w:eastAsia="vi-VN"/>
              </w:rPr>
              <w:t>2.</w:t>
            </w:r>
            <w:r w:rsidRPr="008C49C0">
              <w:rPr>
                <w:rFonts w:eastAsia="SimSun"/>
                <w:sz w:val="28"/>
                <w:szCs w:val="28"/>
                <w:lang w:val="vi-VN" w:eastAsia="vi-VN"/>
              </w:rPr>
              <w:t xml:space="preserve"> </w:t>
            </w:r>
            <w:r w:rsidRPr="008C49C0">
              <w:rPr>
                <w:rFonts w:eastAsia="SimSun"/>
                <w:sz w:val="28"/>
                <w:szCs w:val="28"/>
              </w:rPr>
              <w:t>Sở Nông nghiệp và Môi trường trả lời ngay tính đầy đủ của hồ sơ đối với trường hợp nộp trực tiếp tại Bộ phận một cửa; trả lời tính đầy đủ của hồ sơ trong 01 ngày làm việc đối với trường hợp nộp hồ sơ thông qua dịch vụ bưu chính công ích theo quy định của Thủ tướng Chính phủ.</w:t>
            </w:r>
          </w:p>
          <w:p w14:paraId="500CC98C"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rPr>
            </w:pPr>
            <w:r w:rsidRPr="008C49C0">
              <w:rPr>
                <w:rFonts w:eastAsia="SimSun"/>
                <w:sz w:val="28"/>
                <w:szCs w:val="28"/>
                <w:lang w:eastAsia="vi-VN"/>
              </w:rPr>
              <w:t>3. Trong thời hạn 05 ngày làm việc kể từ ngày nhận được hồ sơ đầy đủ,</w:t>
            </w:r>
            <w:r w:rsidRPr="008C49C0">
              <w:rPr>
                <w:rFonts w:eastAsia="SimSun"/>
                <w:sz w:val="28"/>
                <w:szCs w:val="28"/>
              </w:rPr>
              <w:t xml:space="preserve"> Sở Nông nghiệp và Môi trường thành lập Tổ thẩm định để kiểm tra, xét duyệt hồ sơ (Tổ thẩm định gồm: </w:t>
            </w:r>
            <w:r w:rsidRPr="008C49C0">
              <w:rPr>
                <w:rFonts w:eastAsia="Times New Roman"/>
                <w:bCs/>
                <w:sz w:val="28"/>
                <w:szCs w:val="28"/>
                <w:lang w:eastAsia="vi-VN"/>
              </w:rPr>
              <w:t>Sở Nông nghiệp và Môi trường, Sở Tài chính, Công an tỉnh, Sở Khoa học và Công nghệ, UBND xã có tàu cá</w:t>
            </w:r>
            <w:r w:rsidRPr="008C49C0">
              <w:rPr>
                <w:rFonts w:eastAsia="SimSun"/>
                <w:bCs/>
                <w:sz w:val="28"/>
                <w:szCs w:val="28"/>
                <w:lang w:eastAsia="vi-VN"/>
              </w:rPr>
              <w:t>).</w:t>
            </w:r>
          </w:p>
          <w:p w14:paraId="159CED7B"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val="vi-VN" w:eastAsia="vi-VN"/>
              </w:rPr>
            </w:pPr>
            <w:r w:rsidRPr="008C49C0">
              <w:rPr>
                <w:rFonts w:eastAsia="SimSun"/>
                <w:sz w:val="28"/>
                <w:szCs w:val="28"/>
                <w:lang w:eastAsia="vi-VN"/>
              </w:rPr>
              <w:t>4.</w:t>
            </w:r>
            <w:r w:rsidRPr="008C49C0">
              <w:rPr>
                <w:rFonts w:eastAsia="SimSun"/>
                <w:sz w:val="28"/>
                <w:szCs w:val="28"/>
                <w:lang w:val="vi-VN" w:eastAsia="vi-VN"/>
              </w:rPr>
              <w:t xml:space="preserve"> </w:t>
            </w:r>
            <w:r w:rsidRPr="008C49C0">
              <w:rPr>
                <w:rFonts w:eastAsia="SimSun"/>
                <w:sz w:val="28"/>
                <w:szCs w:val="28"/>
                <w:lang w:eastAsia="vi-VN"/>
              </w:rPr>
              <w:t xml:space="preserve">Sau khi xét duyệt hồ sơ, trong thời hạn 03 ngày làm việc, </w:t>
            </w:r>
            <w:r w:rsidRPr="008C49C0">
              <w:rPr>
                <w:rFonts w:eastAsia="SimSun"/>
                <w:sz w:val="28"/>
                <w:szCs w:val="28"/>
              </w:rPr>
              <w:t xml:space="preserve">Sở Nông nghiệp và Môi trường gửi văn bản đề nghị </w:t>
            </w:r>
            <w:r w:rsidRPr="008C49C0">
              <w:rPr>
                <w:rFonts w:eastAsia="SimSun"/>
                <w:bCs/>
                <w:spacing w:val="-4"/>
                <w:sz w:val="28"/>
                <w:szCs w:val="28"/>
              </w:rPr>
              <w:t xml:space="preserve">kinh phí hỗ trợ </w:t>
            </w:r>
            <w:r w:rsidRPr="008C49C0">
              <w:rPr>
                <w:rFonts w:eastAsia="SimSun"/>
                <w:bCs/>
                <w:sz w:val="28"/>
                <w:szCs w:val="28"/>
                <w:lang w:val="nl-NL"/>
              </w:rPr>
              <w:t>nâng cấp, thay thế thiết bị giám sát hành trình tàu cá</w:t>
            </w:r>
            <w:r w:rsidRPr="008C49C0">
              <w:rPr>
                <w:rFonts w:eastAsia="SimSun"/>
                <w:sz w:val="28"/>
                <w:szCs w:val="28"/>
              </w:rPr>
              <w:t xml:space="preserve"> </w:t>
            </w:r>
            <w:r w:rsidRPr="008C49C0">
              <w:rPr>
                <w:rFonts w:eastAsia="SimSun"/>
                <w:sz w:val="28"/>
                <w:szCs w:val="28"/>
              </w:rPr>
              <w:lastRenderedPageBreak/>
              <w:t xml:space="preserve">cho Sở Tài chính xem xét, trình Chủ tịch UBND tỉnh. </w:t>
            </w:r>
          </w:p>
          <w:p w14:paraId="404F578F"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val="nl-NL"/>
              </w:rPr>
            </w:pPr>
            <w:r w:rsidRPr="008C49C0">
              <w:rPr>
                <w:rFonts w:eastAsia="SimSun"/>
                <w:sz w:val="28"/>
                <w:szCs w:val="28"/>
                <w:lang w:eastAsia="vi-VN"/>
              </w:rPr>
              <w:t>5.</w:t>
            </w:r>
            <w:r w:rsidRPr="008C49C0">
              <w:rPr>
                <w:rFonts w:eastAsia="SimSun"/>
                <w:sz w:val="28"/>
                <w:szCs w:val="28"/>
                <w:lang w:val="vi-VN" w:eastAsia="vi-VN"/>
              </w:rPr>
              <w:t xml:space="preserve"> </w:t>
            </w:r>
            <w:r w:rsidRPr="008C49C0">
              <w:rPr>
                <w:rFonts w:eastAsia="SimSun"/>
                <w:sz w:val="28"/>
                <w:szCs w:val="28"/>
                <w:lang w:eastAsia="vi-VN"/>
              </w:rPr>
              <w:t xml:space="preserve">Trong thời hạn 05 ngày làm việc sau khi nhận được văn bản của Sở Nông nghiệp và Môi trường, </w:t>
            </w:r>
            <w:r w:rsidRPr="008C49C0">
              <w:rPr>
                <w:rFonts w:eastAsia="SimSun"/>
                <w:sz w:val="28"/>
                <w:szCs w:val="28"/>
              </w:rPr>
              <w:t xml:space="preserve">Sở Tài chính trình Chủ tịch UBND tỉnh ban hành Quyết định </w:t>
            </w:r>
            <w:r w:rsidRPr="008C49C0">
              <w:rPr>
                <w:rFonts w:eastAsia="SimSun"/>
                <w:bCs/>
                <w:spacing w:val="-4"/>
                <w:sz w:val="28"/>
                <w:szCs w:val="28"/>
              </w:rPr>
              <w:t xml:space="preserve">phê duyệt kinh phí hỗ trợ </w:t>
            </w:r>
            <w:r w:rsidRPr="008C49C0">
              <w:rPr>
                <w:rFonts w:eastAsia="SimSun"/>
                <w:bCs/>
                <w:sz w:val="28"/>
                <w:szCs w:val="28"/>
                <w:lang w:val="nl-NL"/>
              </w:rPr>
              <w:t>nâng cấp, thay thế thiết bị giám sát hành trình tàu cá</w:t>
            </w:r>
            <w:r w:rsidRPr="008C49C0">
              <w:rPr>
                <w:rFonts w:eastAsia="SimSun"/>
                <w:sz w:val="28"/>
                <w:szCs w:val="28"/>
                <w:lang w:val="nl-NL"/>
              </w:rPr>
              <w:t>.</w:t>
            </w:r>
          </w:p>
          <w:p w14:paraId="11B3F3A8" w14:textId="5D91C980" w:rsidR="0091637E" w:rsidRPr="00FB432B" w:rsidRDefault="008C49C0" w:rsidP="008C49C0">
            <w:pPr>
              <w:shd w:val="clear" w:color="auto" w:fill="FFFFFF"/>
              <w:tabs>
                <w:tab w:val="left" w:pos="851"/>
              </w:tabs>
              <w:spacing w:before="120" w:after="120"/>
              <w:ind w:firstLine="567"/>
              <w:jc w:val="both"/>
            </w:pPr>
            <w:r w:rsidRPr="008C49C0">
              <w:rPr>
                <w:rFonts w:eastAsia="SimSun"/>
                <w:sz w:val="28"/>
                <w:szCs w:val="28"/>
                <w:lang w:eastAsia="vi-VN"/>
              </w:rPr>
              <w:t xml:space="preserve">6. Trong thời hạn 05 ngày làm việc sau khi nhận được văn bản của Sở Tài Chính, </w:t>
            </w:r>
            <w:r w:rsidRPr="008C49C0">
              <w:rPr>
                <w:rFonts w:eastAsia="SimSun"/>
                <w:sz w:val="28"/>
                <w:szCs w:val="28"/>
              </w:rPr>
              <w:t>Chủ tịch UBND tỉnh quyết định </w:t>
            </w:r>
            <w:r w:rsidRPr="008C49C0">
              <w:rPr>
                <w:rFonts w:eastAsia="SimSun"/>
                <w:bCs/>
                <w:spacing w:val="-4"/>
                <w:sz w:val="28"/>
                <w:szCs w:val="28"/>
              </w:rPr>
              <w:t xml:space="preserve">phê duyệt kinh phí hỗ trợ </w:t>
            </w:r>
            <w:r w:rsidRPr="008C49C0">
              <w:rPr>
                <w:rFonts w:eastAsia="Yu Gothic;游ゴシック"/>
                <w:sz w:val="28"/>
                <w:szCs w:val="28"/>
                <w:lang w:eastAsia="zh-CN"/>
              </w:rPr>
              <w:t>nâng cấp/thay thế/lắp đặt mới</w:t>
            </w:r>
            <w:r w:rsidRPr="008C49C0">
              <w:rPr>
                <w:rFonts w:eastAsia="SimSun"/>
                <w:bCs/>
                <w:sz w:val="28"/>
                <w:szCs w:val="28"/>
                <w:lang w:val="nl-NL"/>
              </w:rPr>
              <w:t xml:space="preserve"> thiết bị giám sát hành trình tàu cá</w:t>
            </w:r>
            <w:r w:rsidRPr="008C49C0">
              <w:rPr>
                <w:rFonts w:eastAsia="SimSun"/>
                <w:sz w:val="28"/>
                <w:szCs w:val="28"/>
                <w:lang w:val="nl-NL"/>
              </w:rPr>
              <w:t>. Trường hợp không cấp kinh phí hỗ trợ thì trả lời bằng văn bản và nêu rõ lý do.</w:t>
            </w:r>
          </w:p>
        </w:tc>
        <w:tc>
          <w:tcPr>
            <w:tcW w:w="3827" w:type="dxa"/>
          </w:tcPr>
          <w:p w14:paraId="59888C71" w14:textId="164075CD" w:rsidR="0091637E" w:rsidRPr="00FB432B" w:rsidRDefault="0091637E" w:rsidP="0091637E">
            <w:pPr>
              <w:shd w:val="clear" w:color="auto" w:fill="FFFFFF"/>
              <w:spacing w:after="120"/>
              <w:jc w:val="both"/>
              <w:rPr>
                <w:rFonts w:eastAsia="Times New Roman"/>
                <w:lang w:eastAsia="vi-VN"/>
              </w:rPr>
            </w:pPr>
            <w:r w:rsidRPr="00FB432B">
              <w:rPr>
                <w:rFonts w:eastAsia="Times New Roman"/>
                <w:lang w:eastAsia="vi-VN"/>
              </w:rPr>
              <w:lastRenderedPageBreak/>
              <w:t xml:space="preserve">- Các bước thực hiện căn cứ vào thực tiễn và Điều </w:t>
            </w:r>
            <w:r w:rsidR="00142C60" w:rsidRPr="00FB432B">
              <w:rPr>
                <w:rFonts w:eastAsia="Times New Roman"/>
                <w:lang w:eastAsia="vi-VN"/>
              </w:rPr>
              <w:t>26</w:t>
            </w:r>
            <w:r w:rsidRPr="00FB432B">
              <w:rPr>
                <w:rFonts w:eastAsia="Times New Roman"/>
                <w:lang w:eastAsia="vi-VN"/>
              </w:rPr>
              <w:t xml:space="preserve"> của Nghị định số </w:t>
            </w:r>
            <w:r w:rsidR="00E40CE2" w:rsidRPr="00FB432B">
              <w:rPr>
                <w:rFonts w:eastAsia="Times New Roman"/>
                <w:lang w:eastAsia="vi-VN"/>
              </w:rPr>
              <w:t>41</w:t>
            </w:r>
            <w:r w:rsidRPr="00FB432B">
              <w:rPr>
                <w:rFonts w:eastAsia="Times New Roman"/>
                <w:lang w:eastAsia="vi-VN"/>
              </w:rPr>
              <w:t>/</w:t>
            </w:r>
            <w:r w:rsidR="00695FF9" w:rsidRPr="00FB432B">
              <w:rPr>
                <w:rFonts w:eastAsia="Times New Roman"/>
                <w:lang w:eastAsia="vi-VN"/>
              </w:rPr>
              <w:t>2026/</w:t>
            </w:r>
            <w:r w:rsidRPr="00FB432B">
              <w:rPr>
                <w:rFonts w:eastAsia="Times New Roman"/>
                <w:lang w:eastAsia="vi-VN"/>
              </w:rPr>
              <w:t xml:space="preserve">NĐ-CP quy định </w:t>
            </w:r>
            <w:r w:rsidR="00E40CE2" w:rsidRPr="00FB432B">
              <w:rPr>
                <w:rFonts w:eastAsia="Times New Roman"/>
                <w:lang w:eastAsia="vi-VN"/>
              </w:rPr>
              <w:t>về quản lý hệ thống giám sát hành trình tàu cá</w:t>
            </w:r>
            <w:r w:rsidRPr="00FB432B">
              <w:rPr>
                <w:rFonts w:eastAsia="Times New Roman"/>
                <w:lang w:eastAsia="vi-VN"/>
              </w:rPr>
              <w:t>.</w:t>
            </w:r>
          </w:p>
          <w:p w14:paraId="5CF3B235" w14:textId="77777777" w:rsidR="0091637E" w:rsidRPr="00FB432B" w:rsidRDefault="0091637E" w:rsidP="0091637E"/>
          <w:p w14:paraId="575F2521" w14:textId="60FB57B9" w:rsidR="0091637E" w:rsidRPr="00FB432B" w:rsidRDefault="0091637E" w:rsidP="0091637E">
            <w:pPr>
              <w:jc w:val="center"/>
              <w:rPr>
                <w:lang w:val="de-DE"/>
              </w:rPr>
            </w:pPr>
          </w:p>
        </w:tc>
        <w:tc>
          <w:tcPr>
            <w:tcW w:w="3828" w:type="dxa"/>
          </w:tcPr>
          <w:p w14:paraId="0C088F79" w14:textId="23E585FE" w:rsidR="0091637E" w:rsidRPr="00FB432B" w:rsidRDefault="0091637E" w:rsidP="0091637E">
            <w:pPr>
              <w:jc w:val="both"/>
              <w:rPr>
                <w:lang w:val="de-DE"/>
              </w:rPr>
            </w:pPr>
            <w:r w:rsidRPr="00FB432B">
              <w:rPr>
                <w:lang w:val="de-DE"/>
              </w:rPr>
              <w:t>- Khi ngư dân có nhu cầu hỗ trợ thì phải gửi đơn đề nghị để được xem xét.</w:t>
            </w:r>
          </w:p>
          <w:p w14:paraId="1FFAB4CB" w14:textId="77777777" w:rsidR="0091637E" w:rsidRPr="00FB432B" w:rsidRDefault="0091637E" w:rsidP="0091637E">
            <w:pPr>
              <w:jc w:val="both"/>
              <w:rPr>
                <w:lang w:val="de-DE"/>
              </w:rPr>
            </w:pPr>
            <w:r w:rsidRPr="00FB432B">
              <w:rPr>
                <w:lang w:val="de-DE"/>
              </w:rPr>
              <w:t>- Hồ sơ nhằm đảm bảo tàu cá được phép khai thác, đủ điều kiện hoạt động, đồng thời ngư dân mua thiết bị giám sát hành trình tàu cá tại các đơn vị được kinh doanh hợp pháp, thiết bị đạt yêu cầu và có khai báo đầy đủ theo quy định.</w:t>
            </w:r>
          </w:p>
          <w:p w14:paraId="7CD0AA75" w14:textId="32A93B9A" w:rsidR="00D37334" w:rsidRPr="00FB432B" w:rsidRDefault="00D37334" w:rsidP="0091637E">
            <w:pPr>
              <w:jc w:val="both"/>
              <w:rPr>
                <w:lang w:val="de-DE"/>
              </w:rPr>
            </w:pPr>
            <w:r w:rsidRPr="00FB432B">
              <w:rPr>
                <w:lang w:val="de-DE"/>
              </w:rPr>
              <w:t>- Cần quy định rõ các bước thực hiện, trách nhiệm của các tổ chức, cá nhân có liên quan giúp việc giải quyết hồ sơ đúng trình tự, đảm bảo thời gian và kết quả minh bạch.</w:t>
            </w:r>
          </w:p>
        </w:tc>
      </w:tr>
      <w:tr w:rsidR="00FB432B" w:rsidRPr="00FB432B" w14:paraId="4CC53BFD" w14:textId="77777777" w:rsidTr="00F10CC8">
        <w:trPr>
          <w:trHeight w:val="1123"/>
        </w:trPr>
        <w:tc>
          <w:tcPr>
            <w:tcW w:w="1560" w:type="dxa"/>
          </w:tcPr>
          <w:p w14:paraId="2F2A731B" w14:textId="15A43478" w:rsidR="0091637E" w:rsidRPr="00FB432B" w:rsidRDefault="0091637E" w:rsidP="00F10CC8">
            <w:pPr>
              <w:shd w:val="clear" w:color="auto" w:fill="FFFFFF"/>
              <w:tabs>
                <w:tab w:val="left" w:pos="851"/>
              </w:tabs>
              <w:spacing w:before="120" w:after="120"/>
              <w:jc w:val="center"/>
              <w:rPr>
                <w:rFonts w:eastAsia="Times New Roman"/>
                <w:b/>
                <w:lang w:eastAsia="vi-VN"/>
              </w:rPr>
            </w:pPr>
            <w:r w:rsidRPr="00FB432B">
              <w:rPr>
                <w:rFonts w:eastAsia="Yu Gothic;游ゴシック"/>
                <w:b/>
                <w:lang w:val="vi-VN" w:eastAsia="zh-CN"/>
              </w:rPr>
              <w:lastRenderedPageBreak/>
              <w:t>Điều</w:t>
            </w:r>
            <w:r w:rsidR="00E50C08" w:rsidRPr="00FB432B">
              <w:rPr>
                <w:rFonts w:eastAsia="Yu Gothic;游ゴシック"/>
                <w:b/>
                <w:lang w:eastAsia="zh-CN"/>
              </w:rPr>
              <w:t xml:space="preserve"> 4</w:t>
            </w:r>
            <w:r w:rsidRPr="00FB432B">
              <w:rPr>
                <w:rFonts w:eastAsia="Yu Gothic;游ゴシック"/>
                <w:b/>
                <w:lang w:val="vi-VN" w:eastAsia="zh-CN"/>
              </w:rPr>
              <w:t xml:space="preserve">. </w:t>
            </w:r>
            <w:r w:rsidR="00D37334" w:rsidRPr="00FB432B">
              <w:rPr>
                <w:rFonts w:eastAsia="Times New Roman"/>
                <w:b/>
                <w:lang w:eastAsia="vi-VN"/>
              </w:rPr>
              <w:t>Trách nhiệm các tổ chức, cá nhân có liên quan</w:t>
            </w:r>
          </w:p>
          <w:p w14:paraId="48E81960" w14:textId="1617ACEF" w:rsidR="0091637E" w:rsidRPr="00FB432B" w:rsidRDefault="0091637E" w:rsidP="00F10CC8">
            <w:pPr>
              <w:jc w:val="center"/>
              <w:rPr>
                <w:lang w:val="nb-NO"/>
              </w:rPr>
            </w:pPr>
          </w:p>
        </w:tc>
        <w:tc>
          <w:tcPr>
            <w:tcW w:w="5528" w:type="dxa"/>
          </w:tcPr>
          <w:p w14:paraId="393F5971"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1. Sở Nông nghiệp và Môi trường</w:t>
            </w:r>
          </w:p>
          <w:p w14:paraId="4E571FD6"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 xml:space="preserve">a) Chủ trì, phối hợp với các cơ quan, đơn vị liên quan </w:t>
            </w:r>
            <w:r w:rsidRPr="00FB432B">
              <w:rPr>
                <w:rFonts w:eastAsia="Batang"/>
                <w:lang w:eastAsia="ko-KR"/>
              </w:rPr>
              <w:t>tổ chức triển khai, hướng dẫn thực hiện Quyết định này</w:t>
            </w:r>
            <w:r w:rsidRPr="00FB432B">
              <w:rPr>
                <w:rFonts w:eastAsia="Batang"/>
                <w:lang w:val="pl-PL" w:eastAsia="ko-KR"/>
              </w:rPr>
              <w:t>. Tiếp nhận, giải quyết hồ sơ và tham mưu UBND tỉnh hỗ trợ kinh phí cho ngư dân theo quy định của chính sách.</w:t>
            </w:r>
          </w:p>
          <w:p w14:paraId="7F6D4222" w14:textId="77777777" w:rsidR="00437AF5" w:rsidRPr="00FB432B" w:rsidRDefault="00437AF5" w:rsidP="00437AF5">
            <w:pPr>
              <w:tabs>
                <w:tab w:val="left" w:pos="851"/>
              </w:tabs>
              <w:spacing w:before="120" w:after="120"/>
              <w:jc w:val="both"/>
              <w:rPr>
                <w:rFonts w:eastAsia="Batang"/>
                <w:bCs/>
                <w:lang w:eastAsia="ko-KR"/>
              </w:rPr>
            </w:pPr>
            <w:r w:rsidRPr="00FB432B">
              <w:rPr>
                <w:rFonts w:eastAsia="Batang"/>
                <w:lang w:val="pl-PL" w:eastAsia="ko-KR"/>
              </w:rPr>
              <w:t>b) T</w:t>
            </w:r>
            <w:r w:rsidRPr="00FB432B">
              <w:rPr>
                <w:rFonts w:eastAsia="Batang"/>
                <w:bCs/>
                <w:lang w:eastAsia="ko-KR"/>
              </w:rPr>
              <w:t>hành lập Tổ thẩm định xét duyệt hồ sơ hỗ trợ chính sách theo Nghị quyết số 18/2025/NQ-HĐND đảm bảo cơ cấu đủ thành phần: Sở Nông nghiệp và Môi trường, Sở Tài chính, Công an tỉnh, Sở Khoa học và Công nghệ, UBND xã có tàu cá.</w:t>
            </w:r>
          </w:p>
          <w:p w14:paraId="1D8F1A0D"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lastRenderedPageBreak/>
              <w:t>c) Báo cáo kết quả triển khai Nghị quyết số 18/2025/NQ-HĐND và Quyết định này về UBND tỉnh định kỳ 6 tháng, năm.</w:t>
            </w:r>
          </w:p>
          <w:p w14:paraId="15E71667"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2. Sở Tài chính</w:t>
            </w:r>
          </w:p>
          <w:p w14:paraId="5D53314D"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Phối hợp Sở Nông nghiệp và Môi trường tham mưu UBND tỉnh bố trí kinh phí để triển khai thực hiện chính sách này.</w:t>
            </w:r>
          </w:p>
          <w:p w14:paraId="5B97468A"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eastAsia="ko-KR"/>
              </w:rPr>
              <w:t>3. Các đơn vị: Công an tỉnh, Sở Khoa học và Công nghệ</w:t>
            </w:r>
          </w:p>
          <w:p w14:paraId="557A07BB"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eastAsia="ko-KR"/>
              </w:rPr>
              <w:t>Cử người tham gia Tổ thẩm định xét duyệt hồ sơ hỗ trợ chính sách theo quy định.</w:t>
            </w:r>
          </w:p>
          <w:p w14:paraId="4587647B" w14:textId="53689499" w:rsidR="00437AF5" w:rsidRPr="00FB432B" w:rsidRDefault="00437AF5" w:rsidP="00D043FF">
            <w:pPr>
              <w:tabs>
                <w:tab w:val="left" w:pos="851"/>
              </w:tabs>
              <w:spacing w:before="120" w:after="120"/>
              <w:ind w:firstLine="567"/>
              <w:jc w:val="both"/>
              <w:rPr>
                <w:rFonts w:eastAsia="Batang"/>
                <w:lang w:val="pl-PL" w:eastAsia="ko-KR"/>
              </w:rPr>
            </w:pPr>
            <w:r w:rsidRPr="00FB432B">
              <w:rPr>
                <w:rFonts w:eastAsia="Batang"/>
                <w:lang w:val="pl-PL" w:eastAsia="ko-KR"/>
              </w:rPr>
              <w:t>4. UBND các xã có tàu cá: Thuận Mỹ, Long Hựu, Cần Đước, Tân Tập, Bến Lức, Tân Lân</w:t>
            </w:r>
            <w:r w:rsidR="00D043FF" w:rsidRPr="00FB432B">
              <w:rPr>
                <w:rFonts w:eastAsia="Batang"/>
                <w:lang w:val="pl-PL" w:eastAsia="ko-KR"/>
              </w:rPr>
              <w:t xml:space="preserve">, </w:t>
            </w:r>
            <w:r w:rsidR="00D043FF" w:rsidRPr="00FB432B">
              <w:t>Tân Tây</w:t>
            </w:r>
          </w:p>
          <w:p w14:paraId="76268A76"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a) Phổ biến, tuyên truyền đến ngư dân tại địa phương có tàu cá có chiều dài lớn nhất từ 15m trở lên về chính sách hỗ trợ nâng cấp, thay thế, lắp đặt mới thiết bị giám sát hành trình tàu cá.</w:t>
            </w:r>
          </w:p>
          <w:p w14:paraId="3F9AD185"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val="pl-PL" w:eastAsia="ko-KR"/>
              </w:rPr>
              <w:t xml:space="preserve">b) </w:t>
            </w:r>
            <w:r w:rsidRPr="00FB432B">
              <w:rPr>
                <w:rFonts w:eastAsia="Batang"/>
                <w:lang w:eastAsia="ko-KR"/>
              </w:rPr>
              <w:t>Cử người tham gia Tổ thẩm định xét duyệt hồ sơ hỗ trợ chính sách theo quy định.</w:t>
            </w:r>
          </w:p>
          <w:p w14:paraId="3164B083" w14:textId="77777777" w:rsidR="00437AF5" w:rsidRPr="00FB432B" w:rsidRDefault="00437AF5" w:rsidP="00437AF5">
            <w:pPr>
              <w:tabs>
                <w:tab w:val="left" w:pos="851"/>
              </w:tabs>
              <w:spacing w:before="120" w:after="120"/>
              <w:jc w:val="both"/>
              <w:rPr>
                <w:rFonts w:eastAsia="Batang"/>
                <w:lang w:eastAsia="ko-KR"/>
              </w:rPr>
            </w:pPr>
            <w:r w:rsidRPr="00FB432B">
              <w:rPr>
                <w:rFonts w:eastAsia="Batang"/>
                <w:bCs/>
                <w:lang w:val="pl-PL" w:eastAsia="ko-KR"/>
              </w:rPr>
              <w:t xml:space="preserve">5. </w:t>
            </w:r>
            <w:r w:rsidRPr="00FB432B">
              <w:rPr>
                <w:rFonts w:eastAsia="Batang"/>
                <w:bCs/>
                <w:lang w:eastAsia="ko-KR"/>
              </w:rPr>
              <w:t>Đơn vị cung cấp thiết bị giám sát hành trình tàu cá</w:t>
            </w:r>
          </w:p>
          <w:p w14:paraId="7ED45938"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val="pl-PL" w:eastAsia="ko-KR"/>
              </w:rPr>
              <w:t xml:space="preserve">a) Cung cấp thiết </w:t>
            </w:r>
            <w:r w:rsidRPr="00FB432B">
              <w:rPr>
                <w:rFonts w:eastAsia="Batang"/>
                <w:lang w:eastAsia="ko-KR"/>
              </w:rPr>
              <w:t>bị giám sát hành trình tàu cá đảm bảo đáp ứng các yêu cầu theo Phụ lục VII yêu cầu đối với thiết bị giám sát hành trình lắp đặt trên tàu cá của Nghị định số 41/2026/NĐ-CP ngày 25/01/2026.</w:t>
            </w:r>
          </w:p>
          <w:p w14:paraId="336FAC0F"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eastAsia="ko-KR"/>
              </w:rPr>
              <w:lastRenderedPageBreak/>
              <w:t>b) Thực hiện đầy đủ trách nhiệm quy định tại khoản 6 Điều 26 của Nghị định số 41/2026/NĐ-CP.</w:t>
            </w:r>
          </w:p>
          <w:p w14:paraId="5E2898E2" w14:textId="77777777" w:rsidR="00437AF5" w:rsidRPr="00FB432B" w:rsidRDefault="00437AF5" w:rsidP="00437AF5">
            <w:pPr>
              <w:tabs>
                <w:tab w:val="left" w:pos="851"/>
              </w:tabs>
              <w:spacing w:before="120" w:after="120"/>
              <w:jc w:val="both"/>
              <w:rPr>
                <w:rFonts w:eastAsia="Batang"/>
                <w:bCs/>
                <w:lang w:val="pl-PL" w:eastAsia="ko-KR"/>
              </w:rPr>
            </w:pPr>
            <w:r w:rsidRPr="00FB432B">
              <w:rPr>
                <w:rFonts w:eastAsia="Batang"/>
                <w:bCs/>
                <w:lang w:val="pl-PL" w:eastAsia="ko-KR"/>
              </w:rPr>
              <w:t xml:space="preserve">6. Ngư dân có tàu cá </w:t>
            </w:r>
          </w:p>
          <w:p w14:paraId="567E0359"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a) Chuẩn bị hồ sơ và thực hiện các bước đề nghị hỗ trợ theo quy định.</w:t>
            </w:r>
          </w:p>
          <w:p w14:paraId="0B225790" w14:textId="7C67FC87" w:rsidR="0091637E"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 xml:space="preserve">b) Thực hiện đúng quy định trong việc nâng cấp/lắp đặt/thay thế và duy trì hoạt động của thiết bị giám sát hành trình tàu cá. </w:t>
            </w:r>
          </w:p>
        </w:tc>
        <w:tc>
          <w:tcPr>
            <w:tcW w:w="3827" w:type="dxa"/>
          </w:tcPr>
          <w:p w14:paraId="3B303797" w14:textId="7F93005E" w:rsidR="0091637E" w:rsidRPr="00FB432B" w:rsidRDefault="00D37334" w:rsidP="00281E96">
            <w:r w:rsidRPr="00FB432B">
              <w:lastRenderedPageBreak/>
              <w:t xml:space="preserve">Căn cứ chức năng, nhiệm vụ, quyền hạn của các sở, ngành, đơn vị và UBND cấp xã; </w:t>
            </w:r>
            <w:r w:rsidR="00281E96" w:rsidRPr="00FB432B">
              <w:t>Đ</w:t>
            </w:r>
            <w:r w:rsidRPr="00FB432B">
              <w:t xml:space="preserve">iều </w:t>
            </w:r>
            <w:r w:rsidR="00281E96" w:rsidRPr="00FB432B">
              <w:t>26</w:t>
            </w:r>
            <w:r w:rsidRPr="00FB432B">
              <w:t xml:space="preserve"> của </w:t>
            </w:r>
            <w:r w:rsidRPr="00FB432B">
              <w:rPr>
                <w:rFonts w:eastAsia="Times New Roman"/>
                <w:lang w:eastAsia="vi-VN"/>
              </w:rPr>
              <w:t xml:space="preserve">Nghị định số </w:t>
            </w:r>
            <w:r w:rsidR="00281E96" w:rsidRPr="00FB432B">
              <w:rPr>
                <w:rFonts w:eastAsia="Times New Roman"/>
                <w:lang w:eastAsia="vi-VN"/>
              </w:rPr>
              <w:t>41</w:t>
            </w:r>
            <w:r w:rsidRPr="00FB432B">
              <w:rPr>
                <w:rFonts w:eastAsia="Times New Roman"/>
                <w:lang w:eastAsia="vi-VN"/>
              </w:rPr>
              <w:t>/</w:t>
            </w:r>
            <w:r w:rsidR="007618AC" w:rsidRPr="00FB432B">
              <w:rPr>
                <w:rFonts w:eastAsia="Times New Roman"/>
                <w:lang w:eastAsia="vi-VN"/>
              </w:rPr>
              <w:t>2026/</w:t>
            </w:r>
            <w:r w:rsidRPr="00FB432B">
              <w:rPr>
                <w:rFonts w:eastAsia="Times New Roman"/>
                <w:lang w:eastAsia="vi-VN"/>
              </w:rPr>
              <w:t>NĐ-CP.</w:t>
            </w:r>
          </w:p>
        </w:tc>
        <w:tc>
          <w:tcPr>
            <w:tcW w:w="3828" w:type="dxa"/>
          </w:tcPr>
          <w:p w14:paraId="0E181408" w14:textId="72B2AD47" w:rsidR="0091637E" w:rsidRPr="00FB432B" w:rsidRDefault="00D37334" w:rsidP="0091637E">
            <w:pPr>
              <w:jc w:val="both"/>
              <w:rPr>
                <w:lang w:val="de-DE"/>
              </w:rPr>
            </w:pPr>
            <w:r w:rsidRPr="00FB432B">
              <w:rPr>
                <w:lang w:val="de-DE"/>
              </w:rPr>
              <w:t>Nhằm quy định rõ trách nhiệm của các đơn vị liên quan để việc triển khai thực hiện hiệu quả, phối hợp nhịp nhàng giữa các đơn vị.</w:t>
            </w:r>
          </w:p>
        </w:tc>
      </w:tr>
      <w:tr w:rsidR="00FB432B" w:rsidRPr="00FB432B" w14:paraId="3D5CAF01" w14:textId="77777777" w:rsidTr="00F10CC8">
        <w:trPr>
          <w:trHeight w:val="1695"/>
        </w:trPr>
        <w:tc>
          <w:tcPr>
            <w:tcW w:w="1560" w:type="dxa"/>
          </w:tcPr>
          <w:p w14:paraId="7078268D" w14:textId="2713B3AD" w:rsidR="0091637E" w:rsidRPr="00FB432B" w:rsidRDefault="00281E96" w:rsidP="00F10CC8">
            <w:pPr>
              <w:shd w:val="clear" w:color="auto" w:fill="FFFFFF"/>
              <w:spacing w:after="120"/>
              <w:jc w:val="center"/>
              <w:rPr>
                <w:rFonts w:eastAsia="Times New Roman"/>
                <w:b/>
                <w:bCs/>
                <w:lang w:eastAsia="vi-VN"/>
              </w:rPr>
            </w:pPr>
            <w:r w:rsidRPr="00FB432B">
              <w:rPr>
                <w:rFonts w:eastAsia="Times New Roman"/>
                <w:b/>
                <w:bCs/>
                <w:lang w:eastAsia="vi-VN"/>
              </w:rPr>
              <w:lastRenderedPageBreak/>
              <w:t>Điều 5</w:t>
            </w:r>
            <w:r w:rsidR="0091637E" w:rsidRPr="00FB432B">
              <w:rPr>
                <w:rFonts w:eastAsia="Times New Roman"/>
                <w:b/>
                <w:bCs/>
                <w:lang w:eastAsia="vi-VN"/>
              </w:rPr>
              <w:t>.</w:t>
            </w:r>
            <w:r w:rsidR="0091637E" w:rsidRPr="00FB432B">
              <w:rPr>
                <w:rFonts w:eastAsia="Times New Roman"/>
                <w:b/>
                <w:bCs/>
                <w:lang w:val="vi-VN" w:eastAsia="vi-VN"/>
              </w:rPr>
              <w:t xml:space="preserve"> </w:t>
            </w:r>
            <w:r w:rsidR="00D37334" w:rsidRPr="00FB432B">
              <w:rPr>
                <w:rFonts w:eastAsia="Times New Roman"/>
                <w:b/>
                <w:lang w:eastAsia="vi-VN"/>
              </w:rPr>
              <w:t>Điều khoản thi hành</w:t>
            </w:r>
          </w:p>
          <w:p w14:paraId="56B451B6" w14:textId="17BF1D80" w:rsidR="0091637E" w:rsidRPr="00FB432B" w:rsidRDefault="0091637E" w:rsidP="00F10CC8">
            <w:pPr>
              <w:shd w:val="clear" w:color="auto" w:fill="FFFFFF"/>
              <w:spacing w:before="120" w:after="120"/>
              <w:jc w:val="center"/>
              <w:rPr>
                <w:lang w:val="nb-NO"/>
              </w:rPr>
            </w:pPr>
          </w:p>
        </w:tc>
        <w:tc>
          <w:tcPr>
            <w:tcW w:w="5528" w:type="dxa"/>
          </w:tcPr>
          <w:p w14:paraId="4B3B5ACA" w14:textId="77777777" w:rsidR="00CB6B8B"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1. Quyết định này có hiệu lực thi hành kể từ ngày…. /…./2026 và áp dụng đến hết ngày 31/12/2026.</w:t>
            </w:r>
          </w:p>
          <w:p w14:paraId="3F16C2C3" w14:textId="77777777" w:rsidR="00CB6B8B"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2. Trường hợp các văn bản pháp luật được dẫn chiếu trong Quyết định này được sửa đổi, bổ sung hoặc thay thế thì áp dụng theo văn bản mới.</w:t>
            </w:r>
          </w:p>
          <w:p w14:paraId="673A8256" w14:textId="77777777" w:rsidR="00CB6B8B"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3. Trong quá trình thực hiện nếu có khó khăn, vướng mắc, phát sinh vấn đề ngoài quy định thì các Sở ngành, UBND các xã phản ánh về Sở Nông nghiệp và Môi trường tổng hợp, báo cáo, đề xuất Ủy ban nhân dân tỉnh chỉ đạo xử lý.</w:t>
            </w:r>
          </w:p>
          <w:p w14:paraId="5EAFA887" w14:textId="30980B81" w:rsidR="0091637E"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4. Chánh Văn phòng UBND tỉnh, Giám đốc Sở Nông nghiệp và Môi trường, Giám đốc Sở Tài chính, Chủ tịch UBND các xã có tàu cá và Thủ trưởng các cơ quan liên quan thi hành quyết định này.</w:t>
            </w:r>
            <w:r w:rsidR="008D0FB6" w:rsidRPr="00FB432B">
              <w:rPr>
                <w:rFonts w:eastAsia="Times New Roman"/>
                <w:u w:color="FF0000"/>
              </w:rPr>
              <w:t>/.</w:t>
            </w:r>
          </w:p>
        </w:tc>
        <w:tc>
          <w:tcPr>
            <w:tcW w:w="3827" w:type="dxa"/>
          </w:tcPr>
          <w:p w14:paraId="13E13516" w14:textId="0E8C5F6B" w:rsidR="0091637E" w:rsidRPr="00FB432B" w:rsidRDefault="0091637E" w:rsidP="0091637E">
            <w:pPr>
              <w:jc w:val="center"/>
              <w:rPr>
                <w:lang w:val="de-DE"/>
              </w:rPr>
            </w:pPr>
          </w:p>
        </w:tc>
        <w:tc>
          <w:tcPr>
            <w:tcW w:w="3828" w:type="dxa"/>
          </w:tcPr>
          <w:p w14:paraId="720C2C7D" w14:textId="37759184" w:rsidR="00D37334" w:rsidRPr="00FB432B" w:rsidRDefault="00D37334" w:rsidP="0091637E">
            <w:pPr>
              <w:jc w:val="both"/>
              <w:rPr>
                <w:lang w:val="de-DE"/>
              </w:rPr>
            </w:pPr>
            <w:r w:rsidRPr="00FB432B">
              <w:rPr>
                <w:lang w:val="de-DE"/>
              </w:rPr>
              <w:t xml:space="preserve">- </w:t>
            </w:r>
            <w:r w:rsidR="0068624B" w:rsidRPr="00FB432B">
              <w:rPr>
                <w:lang w:val="de-DE"/>
              </w:rPr>
              <w:t>Thời gian hết hiệu lực đồng bộ với thời gian Nghị quyết 18/2025/NQ-HĐND.</w:t>
            </w:r>
          </w:p>
          <w:p w14:paraId="41BE5200" w14:textId="07391FA3" w:rsidR="0091637E" w:rsidRPr="00FB432B" w:rsidRDefault="00D37334" w:rsidP="0091637E">
            <w:pPr>
              <w:jc w:val="both"/>
              <w:rPr>
                <w:lang w:val="de-DE"/>
              </w:rPr>
            </w:pPr>
            <w:r w:rsidRPr="00FB432B">
              <w:rPr>
                <w:lang w:val="de-DE"/>
              </w:rPr>
              <w:t xml:space="preserve">- Thời gian tới </w:t>
            </w:r>
            <w:r w:rsidR="007618AC" w:rsidRPr="00FB432B">
              <w:rPr>
                <w:rFonts w:eastAsia="Times New Roman"/>
                <w:lang w:eastAsia="vi-VN"/>
              </w:rPr>
              <w:t>Nghị định số 41/2026</w:t>
            </w:r>
            <w:r w:rsidRPr="00FB432B">
              <w:rPr>
                <w:rFonts w:eastAsia="Times New Roman"/>
                <w:lang w:eastAsia="vi-VN"/>
              </w:rPr>
              <w:t xml:space="preserve">/NĐ-CP </w:t>
            </w:r>
            <w:r w:rsidRPr="00FB432B">
              <w:rPr>
                <w:lang w:val="de-DE"/>
              </w:rPr>
              <w:t xml:space="preserve">có thể được sửa đổi, bổ sung nên cần nêu trong Quyết định để không phải sửa đổi, bổ sung sau khi ban hành.  </w:t>
            </w:r>
          </w:p>
        </w:tc>
      </w:tr>
    </w:tbl>
    <w:p w14:paraId="701C3EE5" w14:textId="77777777" w:rsidR="005C6626" w:rsidRPr="001724AF" w:rsidRDefault="005C6626" w:rsidP="005C6626">
      <w:pPr>
        <w:jc w:val="center"/>
        <w:rPr>
          <w:lang w:val="vi-VN"/>
        </w:rPr>
      </w:pPr>
    </w:p>
    <w:sectPr w:rsidR="005C6626" w:rsidRPr="001724AF" w:rsidSect="00392D03">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6F15F" w14:textId="77777777" w:rsidR="00214DB3" w:rsidRDefault="00214DB3" w:rsidP="002A022F">
      <w:pPr>
        <w:spacing w:line="240" w:lineRule="auto"/>
      </w:pPr>
      <w:r>
        <w:separator/>
      </w:r>
    </w:p>
  </w:endnote>
  <w:endnote w:type="continuationSeparator" w:id="0">
    <w:p w14:paraId="2F81E2A7" w14:textId="77777777" w:rsidR="00214DB3" w:rsidRDefault="00214DB3" w:rsidP="002A0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游ゴシック">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E496" w14:textId="77777777" w:rsidR="00214DB3" w:rsidRDefault="00214DB3" w:rsidP="002A022F">
      <w:pPr>
        <w:spacing w:line="240" w:lineRule="auto"/>
      </w:pPr>
      <w:r>
        <w:separator/>
      </w:r>
    </w:p>
  </w:footnote>
  <w:footnote w:type="continuationSeparator" w:id="0">
    <w:p w14:paraId="5B7DD550" w14:textId="77777777" w:rsidR="00214DB3" w:rsidRDefault="00214DB3" w:rsidP="002A0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864089"/>
      <w:docPartObj>
        <w:docPartGallery w:val="Page Numbers (Top of Page)"/>
        <w:docPartUnique/>
      </w:docPartObj>
    </w:sdtPr>
    <w:sdtEndPr>
      <w:rPr>
        <w:noProof/>
      </w:rPr>
    </w:sdtEndPr>
    <w:sdtContent>
      <w:p w14:paraId="4D1C6107" w14:textId="61CE5CB0" w:rsidR="002A022F" w:rsidRDefault="002A022F" w:rsidP="00263CEF">
        <w:pPr>
          <w:pStyle w:val="Header"/>
          <w:jc w:val="center"/>
        </w:pPr>
        <w:r>
          <w:fldChar w:fldCharType="begin"/>
        </w:r>
        <w:r>
          <w:instrText xml:space="preserve"> PAGE   \* MERGEFORMAT </w:instrText>
        </w:r>
        <w:r>
          <w:fldChar w:fldCharType="separate"/>
        </w:r>
        <w:r w:rsidR="00AB5DDE">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5C8C"/>
    <w:multiLevelType w:val="hybridMultilevel"/>
    <w:tmpl w:val="E00EF3C2"/>
    <w:lvl w:ilvl="0" w:tplc="FA3A11A2">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DA6F7B"/>
    <w:multiLevelType w:val="hybridMultilevel"/>
    <w:tmpl w:val="78DABE9A"/>
    <w:lvl w:ilvl="0" w:tplc="D046A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2BF3633"/>
    <w:multiLevelType w:val="hybridMultilevel"/>
    <w:tmpl w:val="E744CF34"/>
    <w:lvl w:ilvl="0" w:tplc="5FF81B54">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3" w15:restartNumberingAfterBreak="0">
    <w:nsid w:val="232E4A0F"/>
    <w:multiLevelType w:val="hybridMultilevel"/>
    <w:tmpl w:val="8F9A9C22"/>
    <w:lvl w:ilvl="0" w:tplc="49D4C2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D143F"/>
    <w:multiLevelType w:val="hybridMultilevel"/>
    <w:tmpl w:val="2EA6E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C0A30"/>
    <w:multiLevelType w:val="hybridMultilevel"/>
    <w:tmpl w:val="38686C22"/>
    <w:lvl w:ilvl="0" w:tplc="0476A2B6">
      <w:start w:val="1"/>
      <w:numFmt w:val="lowerLetter"/>
      <w:lvlText w:val="%1)"/>
      <w:lvlJc w:val="left"/>
      <w:pPr>
        <w:ind w:left="786"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AE75F9"/>
    <w:multiLevelType w:val="hybridMultilevel"/>
    <w:tmpl w:val="A67A3CE0"/>
    <w:lvl w:ilvl="0" w:tplc="8E64F542">
      <w:start w:val="3"/>
      <w:numFmt w:val="bullet"/>
      <w:lvlText w:val=""/>
      <w:lvlJc w:val="left"/>
      <w:pPr>
        <w:ind w:left="535" w:hanging="360"/>
      </w:pPr>
      <w:rPr>
        <w:rFonts w:ascii="Symbol" w:eastAsiaTheme="minorHAnsi" w:hAnsi="Symbol"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7" w15:restartNumberingAfterBreak="0">
    <w:nsid w:val="5A1B099D"/>
    <w:multiLevelType w:val="hybridMultilevel"/>
    <w:tmpl w:val="9FFC173E"/>
    <w:lvl w:ilvl="0" w:tplc="2A5A4746">
      <w:start w:val="1"/>
      <w:numFmt w:val="lowerLetter"/>
      <w:lvlText w:val="%1)"/>
      <w:lvlJc w:val="left"/>
      <w:pPr>
        <w:ind w:left="1069" w:hanging="360"/>
      </w:pPr>
      <w:rPr>
        <w:rFonts w:ascii="TimesNewRomanPSMT" w:hAnsi="TimesNewRomanPSMT" w:hint="default"/>
        <w:color w:val="00000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8210A33"/>
    <w:multiLevelType w:val="hybridMultilevel"/>
    <w:tmpl w:val="0B88B55A"/>
    <w:lvl w:ilvl="0" w:tplc="E6665486">
      <w:start w:val="1"/>
      <w:numFmt w:val="decimal"/>
      <w:lvlText w:val="%1."/>
      <w:lvlJc w:val="left"/>
      <w:pPr>
        <w:ind w:left="1069" w:hanging="360"/>
      </w:pPr>
      <w:rPr>
        <w:rFonts w:ascii="Times New Roman" w:eastAsia="Times New Roman" w:hAnsi="Times New Roman" w:cs="Times New Roman"/>
        <w:color w:val="000000" w:themeColor="text1"/>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6A10283C"/>
    <w:multiLevelType w:val="hybridMultilevel"/>
    <w:tmpl w:val="F0B01812"/>
    <w:lvl w:ilvl="0" w:tplc="E7203F5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79131414"/>
    <w:multiLevelType w:val="hybridMultilevel"/>
    <w:tmpl w:val="9FFC173E"/>
    <w:lvl w:ilvl="0" w:tplc="2A5A4746">
      <w:start w:val="1"/>
      <w:numFmt w:val="lowerLetter"/>
      <w:lvlText w:val="%1)"/>
      <w:lvlJc w:val="left"/>
      <w:pPr>
        <w:ind w:left="1069" w:hanging="360"/>
      </w:pPr>
      <w:rPr>
        <w:rFonts w:ascii="TimesNewRomanPSMT" w:hAnsi="TimesNewRomanPSMT" w:hint="default"/>
        <w:color w:val="00000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BAA77B6"/>
    <w:multiLevelType w:val="hybridMultilevel"/>
    <w:tmpl w:val="997CA83A"/>
    <w:lvl w:ilvl="0" w:tplc="040480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D6EAF"/>
    <w:multiLevelType w:val="hybridMultilevel"/>
    <w:tmpl w:val="315ADABA"/>
    <w:lvl w:ilvl="0" w:tplc="55A2A1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A431B"/>
    <w:multiLevelType w:val="hybridMultilevel"/>
    <w:tmpl w:val="9FFC173E"/>
    <w:lvl w:ilvl="0" w:tplc="2A5A4746">
      <w:start w:val="1"/>
      <w:numFmt w:val="lowerLetter"/>
      <w:lvlText w:val="%1)"/>
      <w:lvlJc w:val="left"/>
      <w:pPr>
        <w:ind w:left="1069" w:hanging="360"/>
      </w:pPr>
      <w:rPr>
        <w:rFonts w:ascii="TimesNewRomanPSMT" w:hAnsi="TimesNewRomanPSMT" w:hint="default"/>
        <w:color w:val="00000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9"/>
  </w:num>
  <w:num w:numId="3">
    <w:abstractNumId w:val="5"/>
  </w:num>
  <w:num w:numId="4">
    <w:abstractNumId w:val="12"/>
  </w:num>
  <w:num w:numId="5">
    <w:abstractNumId w:val="2"/>
  </w:num>
  <w:num w:numId="6">
    <w:abstractNumId w:val="6"/>
  </w:num>
  <w:num w:numId="7">
    <w:abstractNumId w:val="3"/>
  </w:num>
  <w:num w:numId="8">
    <w:abstractNumId w:val="10"/>
  </w:num>
  <w:num w:numId="9">
    <w:abstractNumId w:val="13"/>
  </w:num>
  <w:num w:numId="10">
    <w:abstractNumId w:val="7"/>
  </w:num>
  <w:num w:numId="11">
    <w:abstractNumId w:val="0"/>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37"/>
    <w:rsid w:val="00013BBD"/>
    <w:rsid w:val="00023791"/>
    <w:rsid w:val="00032D9E"/>
    <w:rsid w:val="000340E9"/>
    <w:rsid w:val="00036F18"/>
    <w:rsid w:val="00053954"/>
    <w:rsid w:val="00054658"/>
    <w:rsid w:val="000732EC"/>
    <w:rsid w:val="00087A12"/>
    <w:rsid w:val="000950CE"/>
    <w:rsid w:val="000A179A"/>
    <w:rsid w:val="000A1C31"/>
    <w:rsid w:val="000B5C46"/>
    <w:rsid w:val="000B788B"/>
    <w:rsid w:val="000C02AA"/>
    <w:rsid w:val="000C466B"/>
    <w:rsid w:val="000D65C8"/>
    <w:rsid w:val="000E1EFD"/>
    <w:rsid w:val="000E615E"/>
    <w:rsid w:val="000F17A0"/>
    <w:rsid w:val="000F23D7"/>
    <w:rsid w:val="000F6C94"/>
    <w:rsid w:val="00115EE3"/>
    <w:rsid w:val="00127D55"/>
    <w:rsid w:val="00127E4F"/>
    <w:rsid w:val="00142C60"/>
    <w:rsid w:val="00145A70"/>
    <w:rsid w:val="00150574"/>
    <w:rsid w:val="00150632"/>
    <w:rsid w:val="00155A71"/>
    <w:rsid w:val="0016275B"/>
    <w:rsid w:val="001724AF"/>
    <w:rsid w:val="00174701"/>
    <w:rsid w:val="00182627"/>
    <w:rsid w:val="001A1A94"/>
    <w:rsid w:val="001A4B73"/>
    <w:rsid w:val="001A7043"/>
    <w:rsid w:val="001B4622"/>
    <w:rsid w:val="001B7910"/>
    <w:rsid w:val="001B7C6C"/>
    <w:rsid w:val="001C56CD"/>
    <w:rsid w:val="001C735F"/>
    <w:rsid w:val="001D324A"/>
    <w:rsid w:val="001E23EE"/>
    <w:rsid w:val="001E6115"/>
    <w:rsid w:val="001F214A"/>
    <w:rsid w:val="001F77CE"/>
    <w:rsid w:val="0020417B"/>
    <w:rsid w:val="002111AB"/>
    <w:rsid w:val="00212D08"/>
    <w:rsid w:val="00214DB3"/>
    <w:rsid w:val="00231C12"/>
    <w:rsid w:val="00234529"/>
    <w:rsid w:val="00236323"/>
    <w:rsid w:val="00245777"/>
    <w:rsid w:val="00246746"/>
    <w:rsid w:val="00255D8C"/>
    <w:rsid w:val="00263CEF"/>
    <w:rsid w:val="002656E8"/>
    <w:rsid w:val="00277FE7"/>
    <w:rsid w:val="00281E96"/>
    <w:rsid w:val="00294B43"/>
    <w:rsid w:val="002A022F"/>
    <w:rsid w:val="002B2CA6"/>
    <w:rsid w:val="002B4CCC"/>
    <w:rsid w:val="002C2BAF"/>
    <w:rsid w:val="002E10D3"/>
    <w:rsid w:val="002E6763"/>
    <w:rsid w:val="002E7BA9"/>
    <w:rsid w:val="00300C97"/>
    <w:rsid w:val="00304064"/>
    <w:rsid w:val="00304131"/>
    <w:rsid w:val="00321DEA"/>
    <w:rsid w:val="00343539"/>
    <w:rsid w:val="00350CF5"/>
    <w:rsid w:val="00352F69"/>
    <w:rsid w:val="003556D8"/>
    <w:rsid w:val="0036469F"/>
    <w:rsid w:val="0036629C"/>
    <w:rsid w:val="003726F8"/>
    <w:rsid w:val="00376144"/>
    <w:rsid w:val="003876D8"/>
    <w:rsid w:val="00392D03"/>
    <w:rsid w:val="003A2A85"/>
    <w:rsid w:val="003B075F"/>
    <w:rsid w:val="003B0B99"/>
    <w:rsid w:val="003D09CB"/>
    <w:rsid w:val="003F48AA"/>
    <w:rsid w:val="003F73ED"/>
    <w:rsid w:val="0040678D"/>
    <w:rsid w:val="00407C6B"/>
    <w:rsid w:val="004119C2"/>
    <w:rsid w:val="004224B2"/>
    <w:rsid w:val="00422663"/>
    <w:rsid w:val="00427B06"/>
    <w:rsid w:val="00437AF5"/>
    <w:rsid w:val="00443F15"/>
    <w:rsid w:val="004503FC"/>
    <w:rsid w:val="0045117F"/>
    <w:rsid w:val="00453DE6"/>
    <w:rsid w:val="0045528E"/>
    <w:rsid w:val="00457E24"/>
    <w:rsid w:val="00471847"/>
    <w:rsid w:val="0048119A"/>
    <w:rsid w:val="00496F1A"/>
    <w:rsid w:val="004A1737"/>
    <w:rsid w:val="004A6494"/>
    <w:rsid w:val="004B054D"/>
    <w:rsid w:val="004C499C"/>
    <w:rsid w:val="004E3920"/>
    <w:rsid w:val="004E7807"/>
    <w:rsid w:val="0051151E"/>
    <w:rsid w:val="00511C31"/>
    <w:rsid w:val="00513214"/>
    <w:rsid w:val="00514EFD"/>
    <w:rsid w:val="00523ABF"/>
    <w:rsid w:val="00525F1E"/>
    <w:rsid w:val="00533468"/>
    <w:rsid w:val="00540BEB"/>
    <w:rsid w:val="00542A46"/>
    <w:rsid w:val="005430F4"/>
    <w:rsid w:val="00545462"/>
    <w:rsid w:val="005550BD"/>
    <w:rsid w:val="005623A4"/>
    <w:rsid w:val="00565D6B"/>
    <w:rsid w:val="0056676A"/>
    <w:rsid w:val="00570BEF"/>
    <w:rsid w:val="0058184A"/>
    <w:rsid w:val="00582955"/>
    <w:rsid w:val="00582C79"/>
    <w:rsid w:val="005848CC"/>
    <w:rsid w:val="00584F9D"/>
    <w:rsid w:val="00592EA2"/>
    <w:rsid w:val="00596DB7"/>
    <w:rsid w:val="005B123B"/>
    <w:rsid w:val="005B166A"/>
    <w:rsid w:val="005C6626"/>
    <w:rsid w:val="005E5EF5"/>
    <w:rsid w:val="005E661D"/>
    <w:rsid w:val="005F3C76"/>
    <w:rsid w:val="00603E3E"/>
    <w:rsid w:val="00605862"/>
    <w:rsid w:val="006059E7"/>
    <w:rsid w:val="006173A1"/>
    <w:rsid w:val="0062207E"/>
    <w:rsid w:val="0063272C"/>
    <w:rsid w:val="00661EDE"/>
    <w:rsid w:val="00672192"/>
    <w:rsid w:val="0068624B"/>
    <w:rsid w:val="00690C41"/>
    <w:rsid w:val="00691911"/>
    <w:rsid w:val="00695FF9"/>
    <w:rsid w:val="006A461E"/>
    <w:rsid w:val="006B67A7"/>
    <w:rsid w:val="006B68AF"/>
    <w:rsid w:val="006C014D"/>
    <w:rsid w:val="006C43BB"/>
    <w:rsid w:val="006C6B4C"/>
    <w:rsid w:val="006E401B"/>
    <w:rsid w:val="006E44A1"/>
    <w:rsid w:val="006F086C"/>
    <w:rsid w:val="006F2687"/>
    <w:rsid w:val="006F2A46"/>
    <w:rsid w:val="006F6F65"/>
    <w:rsid w:val="006F7EA2"/>
    <w:rsid w:val="00700346"/>
    <w:rsid w:val="0070342F"/>
    <w:rsid w:val="007049E8"/>
    <w:rsid w:val="007062E2"/>
    <w:rsid w:val="00707841"/>
    <w:rsid w:val="00712B5D"/>
    <w:rsid w:val="00714D30"/>
    <w:rsid w:val="00721134"/>
    <w:rsid w:val="007224ED"/>
    <w:rsid w:val="007245D6"/>
    <w:rsid w:val="007276F9"/>
    <w:rsid w:val="0073643A"/>
    <w:rsid w:val="00736865"/>
    <w:rsid w:val="00736FD9"/>
    <w:rsid w:val="00737593"/>
    <w:rsid w:val="00737BA8"/>
    <w:rsid w:val="00740668"/>
    <w:rsid w:val="00741B40"/>
    <w:rsid w:val="00752223"/>
    <w:rsid w:val="007533C1"/>
    <w:rsid w:val="007544F3"/>
    <w:rsid w:val="00761551"/>
    <w:rsid w:val="007618AC"/>
    <w:rsid w:val="00764D43"/>
    <w:rsid w:val="00772039"/>
    <w:rsid w:val="0077484E"/>
    <w:rsid w:val="00777D81"/>
    <w:rsid w:val="00784F75"/>
    <w:rsid w:val="007851F7"/>
    <w:rsid w:val="00790121"/>
    <w:rsid w:val="00790C62"/>
    <w:rsid w:val="007A16FB"/>
    <w:rsid w:val="007A7826"/>
    <w:rsid w:val="007D2F96"/>
    <w:rsid w:val="007E5932"/>
    <w:rsid w:val="007E5E30"/>
    <w:rsid w:val="007F5A54"/>
    <w:rsid w:val="00812BB7"/>
    <w:rsid w:val="0081610A"/>
    <w:rsid w:val="008205E9"/>
    <w:rsid w:val="00821456"/>
    <w:rsid w:val="00822926"/>
    <w:rsid w:val="00822CDC"/>
    <w:rsid w:val="008272DB"/>
    <w:rsid w:val="00827C3E"/>
    <w:rsid w:val="0085424E"/>
    <w:rsid w:val="00876D21"/>
    <w:rsid w:val="00890577"/>
    <w:rsid w:val="008A1E48"/>
    <w:rsid w:val="008A5385"/>
    <w:rsid w:val="008A7A29"/>
    <w:rsid w:val="008C49C0"/>
    <w:rsid w:val="008D0168"/>
    <w:rsid w:val="008D0FB6"/>
    <w:rsid w:val="008D4D12"/>
    <w:rsid w:val="008D6590"/>
    <w:rsid w:val="008D7DCA"/>
    <w:rsid w:val="00900185"/>
    <w:rsid w:val="00902C64"/>
    <w:rsid w:val="009148A9"/>
    <w:rsid w:val="00916091"/>
    <w:rsid w:val="0091637E"/>
    <w:rsid w:val="00916C77"/>
    <w:rsid w:val="00920735"/>
    <w:rsid w:val="009234A0"/>
    <w:rsid w:val="00926154"/>
    <w:rsid w:val="00954A96"/>
    <w:rsid w:val="0096025B"/>
    <w:rsid w:val="00960961"/>
    <w:rsid w:val="00960C24"/>
    <w:rsid w:val="00970659"/>
    <w:rsid w:val="009706B9"/>
    <w:rsid w:val="009726C5"/>
    <w:rsid w:val="00975252"/>
    <w:rsid w:val="00980625"/>
    <w:rsid w:val="00985186"/>
    <w:rsid w:val="00986A26"/>
    <w:rsid w:val="009C06D8"/>
    <w:rsid w:val="009D72E7"/>
    <w:rsid w:val="009E2243"/>
    <w:rsid w:val="009E7B71"/>
    <w:rsid w:val="00A27C18"/>
    <w:rsid w:val="00A27D17"/>
    <w:rsid w:val="00A317E1"/>
    <w:rsid w:val="00A413D7"/>
    <w:rsid w:val="00A45156"/>
    <w:rsid w:val="00A46B47"/>
    <w:rsid w:val="00A50A47"/>
    <w:rsid w:val="00A66622"/>
    <w:rsid w:val="00A73119"/>
    <w:rsid w:val="00A85F08"/>
    <w:rsid w:val="00AA2362"/>
    <w:rsid w:val="00AA2F24"/>
    <w:rsid w:val="00AB5DDE"/>
    <w:rsid w:val="00AC12EE"/>
    <w:rsid w:val="00AC5528"/>
    <w:rsid w:val="00AC6912"/>
    <w:rsid w:val="00AD4335"/>
    <w:rsid w:val="00AE5376"/>
    <w:rsid w:val="00AE6073"/>
    <w:rsid w:val="00AF0188"/>
    <w:rsid w:val="00AF2042"/>
    <w:rsid w:val="00AF43F1"/>
    <w:rsid w:val="00AF7F22"/>
    <w:rsid w:val="00B10A37"/>
    <w:rsid w:val="00B130EF"/>
    <w:rsid w:val="00B22479"/>
    <w:rsid w:val="00B440EE"/>
    <w:rsid w:val="00B45997"/>
    <w:rsid w:val="00B474FE"/>
    <w:rsid w:val="00B4762F"/>
    <w:rsid w:val="00B52E8C"/>
    <w:rsid w:val="00B5427C"/>
    <w:rsid w:val="00B610D1"/>
    <w:rsid w:val="00B70230"/>
    <w:rsid w:val="00B82164"/>
    <w:rsid w:val="00BA571B"/>
    <w:rsid w:val="00BB44F5"/>
    <w:rsid w:val="00BD04F4"/>
    <w:rsid w:val="00BE4682"/>
    <w:rsid w:val="00C103BD"/>
    <w:rsid w:val="00C1150B"/>
    <w:rsid w:val="00C1357D"/>
    <w:rsid w:val="00C1667B"/>
    <w:rsid w:val="00C22C3C"/>
    <w:rsid w:val="00C243F4"/>
    <w:rsid w:val="00C261AF"/>
    <w:rsid w:val="00C27851"/>
    <w:rsid w:val="00C46E40"/>
    <w:rsid w:val="00C609A5"/>
    <w:rsid w:val="00C804D5"/>
    <w:rsid w:val="00CA59CA"/>
    <w:rsid w:val="00CB6B8B"/>
    <w:rsid w:val="00CC1FF1"/>
    <w:rsid w:val="00CC36B3"/>
    <w:rsid w:val="00CC6BEF"/>
    <w:rsid w:val="00CD649F"/>
    <w:rsid w:val="00CE60E8"/>
    <w:rsid w:val="00D043FF"/>
    <w:rsid w:val="00D06C98"/>
    <w:rsid w:val="00D07B5A"/>
    <w:rsid w:val="00D37334"/>
    <w:rsid w:val="00D55BD9"/>
    <w:rsid w:val="00D57427"/>
    <w:rsid w:val="00D8644E"/>
    <w:rsid w:val="00D91471"/>
    <w:rsid w:val="00D91586"/>
    <w:rsid w:val="00D97A25"/>
    <w:rsid w:val="00DA1143"/>
    <w:rsid w:val="00DA5D43"/>
    <w:rsid w:val="00DB1E7E"/>
    <w:rsid w:val="00DC2704"/>
    <w:rsid w:val="00DC3950"/>
    <w:rsid w:val="00DD549A"/>
    <w:rsid w:val="00DD676C"/>
    <w:rsid w:val="00DD7C42"/>
    <w:rsid w:val="00DE1AF3"/>
    <w:rsid w:val="00DE33F7"/>
    <w:rsid w:val="00DE4813"/>
    <w:rsid w:val="00DF696A"/>
    <w:rsid w:val="00E03F00"/>
    <w:rsid w:val="00E074DC"/>
    <w:rsid w:val="00E12F64"/>
    <w:rsid w:val="00E20079"/>
    <w:rsid w:val="00E244D1"/>
    <w:rsid w:val="00E311A6"/>
    <w:rsid w:val="00E37109"/>
    <w:rsid w:val="00E40CE2"/>
    <w:rsid w:val="00E50C08"/>
    <w:rsid w:val="00E51274"/>
    <w:rsid w:val="00E57A7B"/>
    <w:rsid w:val="00E636E4"/>
    <w:rsid w:val="00E9049B"/>
    <w:rsid w:val="00E92EBC"/>
    <w:rsid w:val="00E936EE"/>
    <w:rsid w:val="00E9468C"/>
    <w:rsid w:val="00EA028E"/>
    <w:rsid w:val="00EA4031"/>
    <w:rsid w:val="00EB0168"/>
    <w:rsid w:val="00EC1665"/>
    <w:rsid w:val="00EC349E"/>
    <w:rsid w:val="00EC3522"/>
    <w:rsid w:val="00EE7E65"/>
    <w:rsid w:val="00F03875"/>
    <w:rsid w:val="00F10B37"/>
    <w:rsid w:val="00F10CC8"/>
    <w:rsid w:val="00F13131"/>
    <w:rsid w:val="00F44FD5"/>
    <w:rsid w:val="00F54923"/>
    <w:rsid w:val="00F62A6F"/>
    <w:rsid w:val="00F66CF1"/>
    <w:rsid w:val="00F85346"/>
    <w:rsid w:val="00FA3A9E"/>
    <w:rsid w:val="00FB432B"/>
    <w:rsid w:val="00FC2D96"/>
    <w:rsid w:val="00FD7B61"/>
    <w:rsid w:val="00FE079B"/>
    <w:rsid w:val="00FE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2F7B8"/>
  <w15:docId w15:val="{2C713694-2F75-4CE2-89AA-1791458C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DE4813"/>
    <w:pPr>
      <w:spacing w:before="240" w:after="60" w:line="240" w:lineRule="auto"/>
      <w:outlineLvl w:val="4"/>
    </w:pPr>
    <w:rPr>
      <w:rFonts w:eastAsia="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6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6626"/>
    <w:pPr>
      <w:spacing w:line="240" w:lineRule="auto"/>
      <w:ind w:left="720"/>
      <w:contextualSpacing/>
    </w:pPr>
    <w:rPr>
      <w:rFonts w:ascii="Arial" w:eastAsia="Times New Roman" w:hAnsi="Arial" w:cs="Arial"/>
      <w:sz w:val="20"/>
      <w:szCs w:val="20"/>
      <w:lang w:val="vi-VN"/>
    </w:rPr>
  </w:style>
  <w:style w:type="character" w:customStyle="1" w:styleId="fontstyle01">
    <w:name w:val="fontstyle01"/>
    <w:basedOn w:val="DefaultParagraphFont"/>
    <w:rsid w:val="00790C62"/>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7D2F9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D2F96"/>
    <w:rPr>
      <w:b/>
      <w:bCs/>
    </w:rPr>
  </w:style>
  <w:style w:type="paragraph" w:styleId="Header">
    <w:name w:val="header"/>
    <w:basedOn w:val="Normal"/>
    <w:link w:val="HeaderChar"/>
    <w:uiPriority w:val="99"/>
    <w:unhideWhenUsed/>
    <w:rsid w:val="002A022F"/>
    <w:pPr>
      <w:tabs>
        <w:tab w:val="center" w:pos="4680"/>
        <w:tab w:val="right" w:pos="9360"/>
      </w:tabs>
      <w:spacing w:line="240" w:lineRule="auto"/>
    </w:pPr>
  </w:style>
  <w:style w:type="character" w:customStyle="1" w:styleId="HeaderChar">
    <w:name w:val="Header Char"/>
    <w:basedOn w:val="DefaultParagraphFont"/>
    <w:link w:val="Header"/>
    <w:uiPriority w:val="99"/>
    <w:rsid w:val="002A022F"/>
  </w:style>
  <w:style w:type="paragraph" w:styleId="Footer">
    <w:name w:val="footer"/>
    <w:basedOn w:val="Normal"/>
    <w:link w:val="FooterChar"/>
    <w:uiPriority w:val="99"/>
    <w:unhideWhenUsed/>
    <w:rsid w:val="002A022F"/>
    <w:pPr>
      <w:tabs>
        <w:tab w:val="center" w:pos="4680"/>
        <w:tab w:val="right" w:pos="9360"/>
      </w:tabs>
      <w:spacing w:line="240" w:lineRule="auto"/>
    </w:pPr>
  </w:style>
  <w:style w:type="character" w:customStyle="1" w:styleId="FooterChar">
    <w:name w:val="Footer Char"/>
    <w:basedOn w:val="DefaultParagraphFont"/>
    <w:link w:val="Footer"/>
    <w:uiPriority w:val="99"/>
    <w:rsid w:val="002A022F"/>
  </w:style>
  <w:style w:type="character" w:customStyle="1" w:styleId="Heading5Char">
    <w:name w:val="Heading 5 Char"/>
    <w:basedOn w:val="DefaultParagraphFont"/>
    <w:link w:val="Heading5"/>
    <w:rsid w:val="00DE4813"/>
    <w:rPr>
      <w:rFonts w:eastAsia="Times New Roman"/>
      <w:b/>
      <w:bCs/>
      <w:i/>
      <w:iCs/>
    </w:rPr>
  </w:style>
  <w:style w:type="character" w:styleId="CommentReference">
    <w:name w:val="annotation reference"/>
    <w:basedOn w:val="DefaultParagraphFont"/>
    <w:uiPriority w:val="99"/>
    <w:semiHidden/>
    <w:unhideWhenUsed/>
    <w:rsid w:val="00CC1FF1"/>
    <w:rPr>
      <w:sz w:val="16"/>
      <w:szCs w:val="16"/>
    </w:rPr>
  </w:style>
  <w:style w:type="paragraph" w:styleId="CommentText">
    <w:name w:val="annotation text"/>
    <w:basedOn w:val="Normal"/>
    <w:link w:val="CommentTextChar"/>
    <w:uiPriority w:val="99"/>
    <w:unhideWhenUsed/>
    <w:rsid w:val="00CC1FF1"/>
    <w:pPr>
      <w:spacing w:line="240" w:lineRule="auto"/>
    </w:pPr>
    <w:rPr>
      <w:sz w:val="20"/>
      <w:szCs w:val="20"/>
    </w:rPr>
  </w:style>
  <w:style w:type="character" w:customStyle="1" w:styleId="CommentTextChar">
    <w:name w:val="Comment Text Char"/>
    <w:basedOn w:val="DefaultParagraphFont"/>
    <w:link w:val="CommentText"/>
    <w:uiPriority w:val="99"/>
    <w:rsid w:val="00CC1FF1"/>
    <w:rPr>
      <w:sz w:val="20"/>
      <w:szCs w:val="20"/>
    </w:rPr>
  </w:style>
  <w:style w:type="paragraph" w:styleId="CommentSubject">
    <w:name w:val="annotation subject"/>
    <w:basedOn w:val="CommentText"/>
    <w:next w:val="CommentText"/>
    <w:link w:val="CommentSubjectChar"/>
    <w:uiPriority w:val="99"/>
    <w:semiHidden/>
    <w:unhideWhenUsed/>
    <w:rsid w:val="00CC1FF1"/>
    <w:rPr>
      <w:b/>
      <w:bCs/>
    </w:rPr>
  </w:style>
  <w:style w:type="character" w:customStyle="1" w:styleId="CommentSubjectChar">
    <w:name w:val="Comment Subject Char"/>
    <w:basedOn w:val="CommentTextChar"/>
    <w:link w:val="CommentSubject"/>
    <w:uiPriority w:val="99"/>
    <w:semiHidden/>
    <w:rsid w:val="00CC1FF1"/>
    <w:rPr>
      <w:b/>
      <w:bCs/>
      <w:sz w:val="20"/>
      <w:szCs w:val="20"/>
    </w:rPr>
  </w:style>
  <w:style w:type="paragraph" w:styleId="BalloonText">
    <w:name w:val="Balloon Text"/>
    <w:basedOn w:val="Normal"/>
    <w:link w:val="BalloonTextChar"/>
    <w:uiPriority w:val="99"/>
    <w:semiHidden/>
    <w:unhideWhenUsed/>
    <w:rsid w:val="008A53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85"/>
    <w:rPr>
      <w:rFonts w:ascii="Segoe UI" w:hAnsi="Segoe UI" w:cs="Segoe UI"/>
      <w:sz w:val="18"/>
      <w:szCs w:val="18"/>
    </w:rPr>
  </w:style>
  <w:style w:type="character" w:customStyle="1" w:styleId="ListParagraphChar">
    <w:name w:val="List Paragraph Char"/>
    <w:link w:val="ListParagraph"/>
    <w:uiPriority w:val="34"/>
    <w:qFormat/>
    <w:rsid w:val="00032D9E"/>
    <w:rPr>
      <w:rFonts w:ascii="Arial" w:eastAsia="Times New Roman" w:hAnsi="Arial" w:cs="Arial"/>
      <w:sz w:val="20"/>
      <w:szCs w:val="20"/>
      <w:lang w:val="vi-VN"/>
    </w:rPr>
  </w:style>
  <w:style w:type="paragraph" w:styleId="BodyTextIndent2">
    <w:name w:val="Body Text Indent 2"/>
    <w:basedOn w:val="Normal"/>
    <w:link w:val="BodyTextIndent2Char"/>
    <w:rsid w:val="00E244D1"/>
    <w:pPr>
      <w:spacing w:after="120" w:line="240" w:lineRule="auto"/>
      <w:ind w:firstLine="709"/>
      <w:jc w:val="both"/>
    </w:pPr>
    <w:rPr>
      <w:rFonts w:ascii=".VnTime" w:eastAsia="SimSun" w:hAnsi=".VnTime"/>
      <w:spacing w:val="-2"/>
      <w:sz w:val="27"/>
      <w:szCs w:val="20"/>
    </w:rPr>
  </w:style>
  <w:style w:type="character" w:customStyle="1" w:styleId="BodyTextIndent2Char">
    <w:name w:val="Body Text Indent 2 Char"/>
    <w:basedOn w:val="DefaultParagraphFont"/>
    <w:link w:val="BodyTextIndent2"/>
    <w:rsid w:val="00E244D1"/>
    <w:rPr>
      <w:rFonts w:ascii=".VnTime" w:eastAsia="SimSun" w:hAnsi=".VnTime"/>
      <w:spacing w:val="-2"/>
      <w:sz w:val="2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1525">
      <w:bodyDiv w:val="1"/>
      <w:marLeft w:val="0"/>
      <w:marRight w:val="0"/>
      <w:marTop w:val="0"/>
      <w:marBottom w:val="0"/>
      <w:divBdr>
        <w:top w:val="none" w:sz="0" w:space="0" w:color="auto"/>
        <w:left w:val="none" w:sz="0" w:space="0" w:color="auto"/>
        <w:bottom w:val="none" w:sz="0" w:space="0" w:color="auto"/>
        <w:right w:val="none" w:sz="0" w:space="0" w:color="auto"/>
      </w:divBdr>
    </w:div>
    <w:div w:id="704863735">
      <w:bodyDiv w:val="1"/>
      <w:marLeft w:val="0"/>
      <w:marRight w:val="0"/>
      <w:marTop w:val="0"/>
      <w:marBottom w:val="0"/>
      <w:divBdr>
        <w:top w:val="none" w:sz="0" w:space="0" w:color="auto"/>
        <w:left w:val="none" w:sz="0" w:space="0" w:color="auto"/>
        <w:bottom w:val="none" w:sz="0" w:space="0" w:color="auto"/>
        <w:right w:val="none" w:sz="0" w:space="0" w:color="auto"/>
      </w:divBdr>
    </w:div>
    <w:div w:id="1079912622">
      <w:bodyDiv w:val="1"/>
      <w:marLeft w:val="0"/>
      <w:marRight w:val="0"/>
      <w:marTop w:val="0"/>
      <w:marBottom w:val="0"/>
      <w:divBdr>
        <w:top w:val="none" w:sz="0" w:space="0" w:color="auto"/>
        <w:left w:val="none" w:sz="0" w:space="0" w:color="auto"/>
        <w:bottom w:val="none" w:sz="0" w:space="0" w:color="auto"/>
        <w:right w:val="none" w:sz="0" w:space="0" w:color="auto"/>
      </w:divBdr>
    </w:div>
    <w:div w:id="1151795292">
      <w:bodyDiv w:val="1"/>
      <w:marLeft w:val="0"/>
      <w:marRight w:val="0"/>
      <w:marTop w:val="0"/>
      <w:marBottom w:val="0"/>
      <w:divBdr>
        <w:top w:val="none" w:sz="0" w:space="0" w:color="auto"/>
        <w:left w:val="none" w:sz="0" w:space="0" w:color="auto"/>
        <w:bottom w:val="none" w:sz="0" w:space="0" w:color="auto"/>
        <w:right w:val="none" w:sz="0" w:space="0" w:color="auto"/>
      </w:divBdr>
    </w:div>
    <w:div w:id="13865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3F79-C0D4-4E3C-BA8C-EFC65282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7326</Characters>
  <Application>Microsoft Office Word</Application>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cp:lastPrinted>2025-10-29T03:41:00Z</cp:lastPrinted>
  <dcterms:created xsi:type="dcterms:W3CDTF">2026-02-11T03:28:00Z</dcterms:created>
  <dcterms:modified xsi:type="dcterms:W3CDTF">2026-02-11T03:28:00Z</dcterms:modified>
</cp:coreProperties>
</file>